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000000"/>
          <w:sz w:val="15"/>
          <w:szCs w:val="15"/>
        </w:rPr>
      </w:pPr>
    </w:p>
    <w:p>
      <w:pPr>
        <w:widowControl/>
        <w:jc w:val="left"/>
        <w:rPr>
          <w:rFonts w:ascii="宋体" w:hAnsi="宋体"/>
          <w:b/>
          <w:color w:val="000000"/>
          <w:sz w:val="36"/>
          <w:szCs w:val="36"/>
        </w:rPr>
      </w:pPr>
    </w:p>
    <w:p>
      <w:pPr>
        <w:widowControl/>
        <w:jc w:val="center"/>
        <w:rPr>
          <w:rFonts w:ascii="宋体" w:hAnsi="宋体"/>
          <w:b/>
          <w:color w:val="000000"/>
          <w:sz w:val="32"/>
          <w:szCs w:val="32"/>
        </w:rPr>
      </w:pPr>
    </w:p>
    <w:p>
      <w:pPr>
        <w:spacing w:line="360" w:lineRule="auto"/>
        <w:ind w:firstLine="643" w:firstLineChars="200"/>
        <w:jc w:val="center"/>
        <w:rPr>
          <w:rFonts w:ascii="宋体" w:hAnsi="宋体"/>
          <w:b/>
          <w:color w:val="000000"/>
          <w:sz w:val="32"/>
          <w:szCs w:val="32"/>
          <w:highlight w:val="yellow"/>
        </w:rPr>
      </w:pPr>
      <w:r>
        <w:rPr>
          <w:rFonts w:hint="eastAsia" w:ascii="宋体" w:hAnsi="宋体"/>
          <w:b/>
          <w:color w:val="000000"/>
          <w:sz w:val="32"/>
          <w:szCs w:val="32"/>
          <w:lang w:val="en-US" w:eastAsia="zh-CN"/>
        </w:rPr>
        <w:t xml:space="preserve">                     </w:t>
      </w:r>
      <w:r>
        <w:rPr>
          <w:rFonts w:hint="eastAsia" w:ascii="宋体" w:hAnsi="宋体"/>
          <w:b/>
          <w:color w:val="000000"/>
          <w:sz w:val="32"/>
          <w:szCs w:val="32"/>
        </w:rPr>
        <w:t>项目编号：</w:t>
      </w:r>
      <w:r>
        <w:rPr>
          <w:rFonts w:hint="eastAsia" w:ascii="宋体" w:hAnsi="宋体"/>
          <w:b/>
          <w:color w:val="000000"/>
          <w:sz w:val="32"/>
          <w:szCs w:val="32"/>
          <w:lang w:val="zh-CN"/>
        </w:rPr>
        <w:t>YBQS-202</w:t>
      </w:r>
      <w:r>
        <w:rPr>
          <w:rFonts w:hint="eastAsia" w:ascii="宋体" w:hAnsi="宋体"/>
          <w:b/>
          <w:color w:val="000000"/>
          <w:sz w:val="32"/>
          <w:szCs w:val="32"/>
        </w:rPr>
        <w:t>4</w:t>
      </w:r>
      <w:r>
        <w:rPr>
          <w:rFonts w:hint="eastAsia" w:ascii="宋体" w:hAnsi="宋体"/>
          <w:b/>
          <w:color w:val="000000"/>
          <w:sz w:val="32"/>
          <w:szCs w:val="32"/>
          <w:lang w:val="zh-CN"/>
        </w:rPr>
        <w:t>-</w:t>
      </w:r>
      <w:r>
        <w:rPr>
          <w:rFonts w:hint="eastAsia" w:ascii="宋体" w:hAnsi="宋体"/>
          <w:b/>
          <w:color w:val="000000"/>
          <w:sz w:val="32"/>
          <w:szCs w:val="32"/>
          <w:lang w:val="en-US" w:eastAsia="zh-CN"/>
        </w:rPr>
        <w:t>0409</w:t>
      </w:r>
    </w:p>
    <w:p>
      <w:pPr>
        <w:widowControl/>
        <w:jc w:val="center"/>
        <w:rPr>
          <w:color w:val="000000"/>
        </w:rPr>
      </w:pPr>
    </w:p>
    <w:p>
      <w:pPr>
        <w:widowControl/>
        <w:jc w:val="left"/>
        <w:rPr>
          <w:color w:val="000000"/>
        </w:rPr>
      </w:pPr>
    </w:p>
    <w:p>
      <w:pPr>
        <w:pStyle w:val="21"/>
        <w:jc w:val="center"/>
        <w:rPr>
          <w:b/>
          <w:color w:val="000000"/>
          <w:sz w:val="96"/>
          <w:szCs w:val="96"/>
        </w:rPr>
      </w:pPr>
      <w:bookmarkStart w:id="0" w:name="_Toc18465"/>
      <w:bookmarkStart w:id="1" w:name="_Toc421005872"/>
      <w:bookmarkStart w:id="2" w:name="_Toc10077"/>
      <w:r>
        <w:rPr>
          <w:rFonts w:hint="eastAsia" w:asciiTheme="majorEastAsia" w:hAnsiTheme="majorEastAsia" w:eastAsiaTheme="majorEastAsia" w:cstheme="majorEastAsia"/>
          <w:b/>
          <w:bCs/>
          <w:sz w:val="44"/>
          <w:szCs w:val="44"/>
        </w:rPr>
        <w:t>高县人民医院全院污水处理站运维服务</w:t>
      </w:r>
      <w:r>
        <w:rPr>
          <w:rFonts w:hint="eastAsia" w:asciiTheme="majorEastAsia" w:hAnsiTheme="majorEastAsia" w:eastAsiaTheme="majorEastAsia" w:cstheme="majorEastAsia"/>
          <w:b/>
          <w:bCs/>
          <w:sz w:val="44"/>
          <w:szCs w:val="44"/>
          <w:lang w:eastAsia="zh-CN"/>
        </w:rPr>
        <w:t>项目</w:t>
      </w:r>
    </w:p>
    <w:p>
      <w:pPr>
        <w:jc w:val="center"/>
        <w:rPr>
          <w:b/>
          <w:color w:val="000000"/>
          <w:sz w:val="80"/>
          <w:szCs w:val="80"/>
        </w:rPr>
      </w:pPr>
    </w:p>
    <w:p>
      <w:pPr>
        <w:jc w:val="center"/>
        <w:rPr>
          <w:b/>
          <w:color w:val="000000"/>
          <w:sz w:val="80"/>
          <w:szCs w:val="80"/>
        </w:rPr>
      </w:pPr>
      <w:r>
        <w:rPr>
          <w:rFonts w:hint="eastAsia"/>
          <w:b/>
          <w:color w:val="000000"/>
          <w:sz w:val="80"/>
          <w:szCs w:val="80"/>
          <w:lang w:eastAsia="zh-CN"/>
        </w:rPr>
        <w:t>竞争性磋商</w:t>
      </w:r>
      <w:r>
        <w:rPr>
          <w:rFonts w:hint="eastAsia"/>
          <w:b/>
          <w:color w:val="000000"/>
          <w:sz w:val="80"/>
          <w:szCs w:val="80"/>
        </w:rPr>
        <w:t>文件</w:t>
      </w:r>
      <w:bookmarkEnd w:id="0"/>
      <w:bookmarkEnd w:id="1"/>
      <w:bookmarkEnd w:id="2"/>
    </w:p>
    <w:p>
      <w:pPr>
        <w:pStyle w:val="21"/>
        <w:spacing w:line="480" w:lineRule="auto"/>
        <w:jc w:val="center"/>
        <w:rPr>
          <w:rFonts w:hAnsi="宋体" w:cs="宋体"/>
          <w:b/>
          <w:bCs/>
          <w:color w:val="000000"/>
          <w:sz w:val="36"/>
          <w:szCs w:val="36"/>
        </w:rPr>
      </w:pPr>
      <w:bookmarkStart w:id="3" w:name="_Toc217446030"/>
      <w:bookmarkStart w:id="4" w:name="_Toc183682338"/>
    </w:p>
    <w:p>
      <w:pPr>
        <w:pStyle w:val="21"/>
        <w:spacing w:line="480" w:lineRule="auto"/>
        <w:jc w:val="center"/>
        <w:rPr>
          <w:rFonts w:hAnsi="宋体" w:cs="宋体"/>
          <w:b/>
          <w:bCs/>
          <w:color w:val="000000"/>
          <w:sz w:val="36"/>
          <w:szCs w:val="36"/>
        </w:rPr>
      </w:pPr>
    </w:p>
    <w:p>
      <w:pPr>
        <w:spacing w:line="360" w:lineRule="auto"/>
        <w:ind w:firstLine="602"/>
        <w:jc w:val="center"/>
        <w:rPr>
          <w:b/>
          <w:color w:val="000000"/>
          <w:sz w:val="30"/>
          <w:szCs w:val="30"/>
        </w:rPr>
      </w:pPr>
    </w:p>
    <w:p>
      <w:pPr>
        <w:spacing w:line="360" w:lineRule="auto"/>
        <w:ind w:firstLine="602"/>
        <w:jc w:val="center"/>
        <w:rPr>
          <w:b/>
          <w:color w:val="000000"/>
          <w:sz w:val="30"/>
          <w:szCs w:val="30"/>
        </w:rPr>
      </w:pPr>
      <w:r>
        <w:rPr>
          <w:rFonts w:hint="eastAsia"/>
          <w:b/>
          <w:color w:val="000000"/>
          <w:sz w:val="30"/>
          <w:szCs w:val="30"/>
        </w:rPr>
        <w:t>中国·四川</w:t>
      </w:r>
    </w:p>
    <w:p>
      <w:pPr>
        <w:spacing w:line="360" w:lineRule="auto"/>
        <w:ind w:firstLine="2108" w:firstLineChars="700"/>
        <w:rPr>
          <w:rFonts w:hint="eastAsia" w:ascii="宋体" w:hAnsi="宋体" w:eastAsia="宋体" w:cs="宋体"/>
          <w:b/>
          <w:bCs/>
          <w:sz w:val="32"/>
          <w:szCs w:val="40"/>
          <w:lang w:eastAsia="zh-CN"/>
        </w:rPr>
      </w:pPr>
      <w:r>
        <w:rPr>
          <w:rFonts w:hint="eastAsia"/>
          <w:b/>
          <w:color w:val="000000"/>
          <w:sz w:val="30"/>
          <w:szCs w:val="30"/>
        </w:rPr>
        <w:t>采购人：</w:t>
      </w:r>
      <w:r>
        <w:rPr>
          <w:rFonts w:hint="eastAsia" w:ascii="宋体" w:hAnsi="宋体" w:cs="宋体"/>
          <w:b/>
          <w:bCs/>
          <w:sz w:val="32"/>
          <w:szCs w:val="40"/>
          <w:lang w:eastAsia="zh-CN"/>
        </w:rPr>
        <w:t>高县人民医院</w:t>
      </w:r>
    </w:p>
    <w:p>
      <w:pPr>
        <w:spacing w:line="360" w:lineRule="auto"/>
        <w:ind w:firstLine="1807" w:firstLineChars="600"/>
        <w:rPr>
          <w:b/>
          <w:color w:val="000000"/>
          <w:sz w:val="30"/>
          <w:szCs w:val="30"/>
          <w:highlight w:val="yellow"/>
        </w:rPr>
      </w:pPr>
      <w:r>
        <w:rPr>
          <w:rFonts w:hint="eastAsia"/>
          <w:b/>
          <w:color w:val="000000"/>
          <w:sz w:val="30"/>
          <w:szCs w:val="30"/>
        </w:rPr>
        <w:t xml:space="preserve"> 采购代理机构：</w:t>
      </w:r>
      <w:r>
        <w:rPr>
          <w:rFonts w:hint="eastAsia" w:ascii="宋体" w:hAnsi="宋体" w:cs="宋体"/>
          <w:b/>
          <w:bCs/>
          <w:sz w:val="32"/>
          <w:szCs w:val="32"/>
        </w:rPr>
        <w:t>宜宾麒森建设工程管理有限公司</w:t>
      </w:r>
    </w:p>
    <w:p>
      <w:pPr>
        <w:spacing w:line="360" w:lineRule="auto"/>
        <w:jc w:val="center"/>
        <w:rPr>
          <w:b/>
          <w:color w:val="000000"/>
          <w:sz w:val="30"/>
          <w:szCs w:val="30"/>
        </w:rPr>
      </w:pPr>
      <w:r>
        <w:rPr>
          <w:rFonts w:hint="eastAsia"/>
          <w:b/>
          <w:color w:val="000000"/>
          <w:sz w:val="30"/>
          <w:szCs w:val="30"/>
        </w:rPr>
        <w:t>共同编制</w:t>
      </w:r>
    </w:p>
    <w:p>
      <w:pPr>
        <w:jc w:val="center"/>
        <w:rPr>
          <w:rFonts w:ascii="宋体" w:hAnsi="宋体"/>
          <w:b/>
          <w:color w:val="000000"/>
          <w:sz w:val="30"/>
          <w:szCs w:val="30"/>
        </w:rPr>
      </w:pPr>
      <w:r>
        <w:rPr>
          <w:rFonts w:hint="eastAsia" w:ascii="宋体" w:hAnsi="宋体"/>
          <w:b/>
          <w:color w:val="000000"/>
          <w:sz w:val="30"/>
          <w:szCs w:val="30"/>
        </w:rPr>
        <w:t>二零二四年</w:t>
      </w:r>
      <w:r>
        <w:rPr>
          <w:rFonts w:hint="eastAsia" w:ascii="宋体" w:hAnsi="宋体"/>
          <w:b/>
          <w:color w:val="000000"/>
          <w:sz w:val="30"/>
          <w:szCs w:val="30"/>
          <w:lang w:eastAsia="zh-CN"/>
        </w:rPr>
        <w:t>四</w:t>
      </w:r>
      <w:r>
        <w:rPr>
          <w:rFonts w:ascii="宋体" w:hAnsi="宋体"/>
          <w:b/>
          <w:color w:val="000000"/>
          <w:sz w:val="30"/>
          <w:szCs w:val="30"/>
        </w:rPr>
        <w:t>月</w:t>
      </w:r>
    </w:p>
    <w:p>
      <w:pPr>
        <w:rPr>
          <w:rFonts w:ascii="宋体"/>
          <w:bCs/>
          <w:color w:val="000000"/>
        </w:rPr>
        <w:sectPr>
          <w:footerReference r:id="rId4" w:type="first"/>
          <w:footerReference r:id="rId3" w:type="default"/>
          <w:type w:val="continuous"/>
          <w:pgSz w:w="11907" w:h="16840"/>
          <w:pgMar w:top="1012" w:right="1080" w:bottom="1440" w:left="1080" w:header="1044" w:footer="1137" w:gutter="0"/>
          <w:pgNumType w:fmt="decimal"/>
          <w:cols w:space="720" w:num="1"/>
          <w:titlePg/>
          <w:docGrid w:linePitch="312" w:charSpace="0"/>
        </w:sectPr>
      </w:pPr>
      <w:bookmarkStart w:id="5" w:name="_Toc421005873"/>
      <w:bookmarkStart w:id="6" w:name="_Toc20924"/>
      <w:bookmarkStart w:id="7" w:name="_Toc26129"/>
    </w:p>
    <w:p>
      <w:pPr>
        <w:jc w:val="center"/>
        <w:rPr>
          <w:rFonts w:ascii="宋体"/>
          <w:b/>
          <w:bCs/>
          <w:color w:val="000000"/>
          <w:sz w:val="44"/>
          <w:szCs w:val="44"/>
        </w:rPr>
      </w:pPr>
      <w:r>
        <w:rPr>
          <w:rFonts w:hint="eastAsia" w:ascii="宋体"/>
          <w:b/>
          <w:bCs/>
          <w:color w:val="000000"/>
          <w:sz w:val="44"/>
          <w:szCs w:val="44"/>
        </w:rPr>
        <w:t>目  录</w:t>
      </w:r>
      <w:bookmarkEnd w:id="5"/>
      <w:bookmarkEnd w:id="6"/>
      <w:bookmarkEnd w:id="7"/>
    </w:p>
    <w:p>
      <w:pPr>
        <w:pStyle w:val="21"/>
        <w:rPr>
          <w:color w:val="000000"/>
        </w:rPr>
      </w:pPr>
    </w:p>
    <w:p>
      <w:pPr>
        <w:pStyle w:val="34"/>
        <w:tabs>
          <w:tab w:val="right" w:leader="dot" w:pos="9747"/>
        </w:tabs>
        <w:spacing w:line="480" w:lineRule="auto"/>
        <w:rPr>
          <w:rFonts w:hAnsi="宋体" w:cs="宋体"/>
          <w:b/>
          <w:bCs/>
          <w:color w:val="000000"/>
          <w:sz w:val="21"/>
          <w:szCs w:val="21"/>
        </w:rPr>
      </w:pPr>
      <w:r>
        <w:rPr>
          <w:rFonts w:hint="eastAsia" w:hAnsi="宋体" w:cs="宋体"/>
          <w:b/>
          <w:bCs/>
          <w:color w:val="000000"/>
          <w:sz w:val="21"/>
          <w:szCs w:val="21"/>
        </w:rPr>
        <w:fldChar w:fldCharType="begin"/>
      </w:r>
      <w:r>
        <w:rPr>
          <w:rFonts w:hint="eastAsia" w:hAnsi="宋体" w:cs="宋体"/>
          <w:b/>
          <w:bCs/>
          <w:color w:val="000000"/>
          <w:sz w:val="21"/>
          <w:szCs w:val="21"/>
        </w:rPr>
        <w:instrText xml:space="preserve">TOC \o "1-1" \h \u </w:instrText>
      </w:r>
      <w:r>
        <w:rPr>
          <w:rFonts w:hint="eastAsia" w:hAnsi="宋体" w:cs="宋体"/>
          <w:b/>
          <w:bCs/>
          <w:color w:val="000000"/>
          <w:sz w:val="21"/>
          <w:szCs w:val="21"/>
        </w:rPr>
        <w:fldChar w:fldCharType="separate"/>
      </w:r>
      <w:r>
        <w:fldChar w:fldCharType="begin"/>
      </w:r>
      <w:r>
        <w:instrText xml:space="preserve"> HYPERLINK \l "_Toc3272" </w:instrText>
      </w:r>
      <w:r>
        <w:fldChar w:fldCharType="separate"/>
      </w:r>
      <w:r>
        <w:rPr>
          <w:rFonts w:hint="eastAsia" w:hAnsi="宋体" w:cs="宋体"/>
          <w:b/>
          <w:bCs/>
          <w:color w:val="000000"/>
          <w:sz w:val="21"/>
          <w:szCs w:val="21"/>
        </w:rPr>
        <w:t>第一章  投标邀请</w:t>
      </w:r>
      <w:r>
        <w:rPr>
          <w:rFonts w:hint="eastAsia" w:hAnsi="宋体" w:cs="宋体"/>
          <w:b/>
          <w:bCs/>
          <w:color w:val="000000"/>
          <w:sz w:val="21"/>
          <w:szCs w:val="21"/>
        </w:rPr>
        <w:tab/>
      </w:r>
      <w:r>
        <w:rPr>
          <w:rFonts w:hint="eastAsia" w:hAnsi="宋体" w:cs="宋体"/>
          <w:b/>
          <w:bCs/>
          <w:color w:val="000000"/>
          <w:sz w:val="21"/>
          <w:szCs w:val="21"/>
        </w:rPr>
        <w:fldChar w:fldCharType="begin"/>
      </w:r>
      <w:r>
        <w:rPr>
          <w:rFonts w:hint="eastAsia" w:hAnsi="宋体" w:cs="宋体"/>
          <w:b/>
          <w:bCs/>
          <w:color w:val="000000"/>
          <w:sz w:val="21"/>
          <w:szCs w:val="21"/>
        </w:rPr>
        <w:instrText xml:space="preserve"> PAGEREF _Toc3272 </w:instrText>
      </w:r>
      <w:r>
        <w:rPr>
          <w:rFonts w:hint="eastAsia" w:hAnsi="宋体" w:cs="宋体"/>
          <w:b/>
          <w:bCs/>
          <w:color w:val="000000"/>
          <w:sz w:val="21"/>
          <w:szCs w:val="21"/>
        </w:rPr>
        <w:fldChar w:fldCharType="separate"/>
      </w:r>
      <w:r>
        <w:rPr>
          <w:rFonts w:hint="eastAsia" w:hAnsi="宋体" w:cs="宋体"/>
          <w:b/>
          <w:bCs/>
          <w:color w:val="000000"/>
          <w:sz w:val="21"/>
          <w:szCs w:val="21"/>
        </w:rPr>
        <w:t>3</w:t>
      </w:r>
      <w:r>
        <w:rPr>
          <w:rFonts w:hint="eastAsia" w:hAnsi="宋体" w:cs="宋体"/>
          <w:b/>
          <w:bCs/>
          <w:color w:val="000000"/>
          <w:sz w:val="21"/>
          <w:szCs w:val="21"/>
        </w:rPr>
        <w:fldChar w:fldCharType="end"/>
      </w:r>
      <w:r>
        <w:rPr>
          <w:rFonts w:hint="eastAsia" w:hAnsi="宋体" w:cs="宋体"/>
          <w:b/>
          <w:bCs/>
          <w:color w:val="000000"/>
          <w:sz w:val="21"/>
          <w:szCs w:val="21"/>
        </w:rPr>
        <w:fldChar w:fldCharType="end"/>
      </w:r>
    </w:p>
    <w:p>
      <w:pPr>
        <w:pStyle w:val="34"/>
        <w:tabs>
          <w:tab w:val="right" w:leader="dot" w:pos="9747"/>
        </w:tabs>
        <w:spacing w:line="480" w:lineRule="auto"/>
        <w:rPr>
          <w:rFonts w:hAnsi="宋体" w:cs="宋体"/>
          <w:b/>
          <w:bCs/>
          <w:color w:val="000000"/>
          <w:sz w:val="21"/>
          <w:szCs w:val="21"/>
        </w:rPr>
      </w:pPr>
      <w:r>
        <w:fldChar w:fldCharType="begin"/>
      </w:r>
      <w:r>
        <w:instrText xml:space="preserve"> HYPERLINK \l "_Toc30771" </w:instrText>
      </w:r>
      <w:r>
        <w:fldChar w:fldCharType="separate"/>
      </w:r>
      <w:r>
        <w:rPr>
          <w:rFonts w:hint="eastAsia" w:hAnsi="宋体" w:cs="宋体"/>
          <w:b/>
          <w:bCs/>
          <w:color w:val="000000"/>
          <w:sz w:val="21"/>
          <w:szCs w:val="21"/>
        </w:rPr>
        <w:t>第二章  投标人须知</w:t>
      </w:r>
      <w:r>
        <w:rPr>
          <w:rFonts w:hint="eastAsia" w:hAnsi="宋体" w:cs="宋体"/>
          <w:b/>
          <w:bCs/>
          <w:color w:val="000000"/>
          <w:sz w:val="21"/>
          <w:szCs w:val="21"/>
        </w:rPr>
        <w:tab/>
      </w:r>
      <w:r>
        <w:rPr>
          <w:rFonts w:hint="eastAsia" w:hAnsi="宋体" w:cs="宋体"/>
          <w:b/>
          <w:bCs/>
          <w:color w:val="000000"/>
          <w:sz w:val="21"/>
          <w:szCs w:val="21"/>
        </w:rPr>
        <w:t>5</w:t>
      </w:r>
      <w:r>
        <w:rPr>
          <w:rFonts w:hint="eastAsia" w:hAnsi="宋体" w:cs="宋体"/>
          <w:b/>
          <w:bCs/>
          <w:color w:val="000000"/>
          <w:sz w:val="21"/>
          <w:szCs w:val="21"/>
        </w:rPr>
        <w:fldChar w:fldCharType="end"/>
      </w:r>
    </w:p>
    <w:p>
      <w:pPr>
        <w:pStyle w:val="34"/>
        <w:tabs>
          <w:tab w:val="right" w:leader="dot" w:pos="9747"/>
        </w:tabs>
        <w:spacing w:line="480" w:lineRule="auto"/>
        <w:rPr>
          <w:rFonts w:hAnsi="宋体" w:cs="宋体"/>
          <w:b/>
          <w:bCs/>
          <w:color w:val="000000"/>
          <w:sz w:val="21"/>
          <w:szCs w:val="21"/>
        </w:rPr>
      </w:pPr>
      <w:r>
        <w:fldChar w:fldCharType="begin"/>
      </w:r>
      <w:r>
        <w:instrText xml:space="preserve"> HYPERLINK \l "_Toc16041" </w:instrText>
      </w:r>
      <w:r>
        <w:fldChar w:fldCharType="separate"/>
      </w:r>
      <w:r>
        <w:rPr>
          <w:rFonts w:hint="eastAsia" w:hAnsi="宋体" w:cs="宋体"/>
          <w:b/>
          <w:bCs/>
          <w:color w:val="000000"/>
          <w:sz w:val="21"/>
          <w:szCs w:val="21"/>
        </w:rPr>
        <w:t>第三章  投标文件格式</w:t>
      </w:r>
      <w:r>
        <w:rPr>
          <w:rFonts w:hint="eastAsia" w:hAnsi="宋体" w:cs="宋体"/>
          <w:b/>
          <w:bCs/>
          <w:color w:val="000000"/>
          <w:sz w:val="21"/>
          <w:szCs w:val="21"/>
        </w:rPr>
        <w:tab/>
      </w:r>
      <w:r>
        <w:rPr>
          <w:rFonts w:hint="eastAsia" w:hAnsi="宋体" w:cs="宋体"/>
          <w:b/>
          <w:bCs/>
          <w:color w:val="000000"/>
          <w:sz w:val="21"/>
          <w:szCs w:val="21"/>
        </w:rPr>
        <w:fldChar w:fldCharType="begin"/>
      </w:r>
      <w:r>
        <w:rPr>
          <w:rFonts w:hint="eastAsia" w:hAnsi="宋体" w:cs="宋体"/>
          <w:b/>
          <w:bCs/>
          <w:color w:val="000000"/>
          <w:sz w:val="21"/>
          <w:szCs w:val="21"/>
        </w:rPr>
        <w:instrText xml:space="preserve"> PAGEREF _Toc16041 </w:instrText>
      </w:r>
      <w:r>
        <w:rPr>
          <w:rFonts w:hint="eastAsia" w:hAnsi="宋体" w:cs="宋体"/>
          <w:b/>
          <w:bCs/>
          <w:color w:val="000000"/>
          <w:sz w:val="21"/>
          <w:szCs w:val="21"/>
        </w:rPr>
        <w:fldChar w:fldCharType="separate"/>
      </w:r>
      <w:r>
        <w:rPr>
          <w:rFonts w:hint="eastAsia" w:hAnsi="宋体" w:cs="宋体"/>
          <w:b/>
          <w:bCs/>
          <w:color w:val="000000"/>
          <w:sz w:val="21"/>
          <w:szCs w:val="21"/>
        </w:rPr>
        <w:t>23</w:t>
      </w:r>
      <w:r>
        <w:rPr>
          <w:rFonts w:hint="eastAsia" w:hAnsi="宋体" w:cs="宋体"/>
          <w:b/>
          <w:bCs/>
          <w:color w:val="000000"/>
          <w:sz w:val="21"/>
          <w:szCs w:val="21"/>
        </w:rPr>
        <w:fldChar w:fldCharType="end"/>
      </w:r>
      <w:r>
        <w:rPr>
          <w:rFonts w:hint="eastAsia" w:hAnsi="宋体" w:cs="宋体"/>
          <w:b/>
          <w:bCs/>
          <w:color w:val="000000"/>
          <w:sz w:val="21"/>
          <w:szCs w:val="21"/>
        </w:rPr>
        <w:fldChar w:fldCharType="end"/>
      </w:r>
    </w:p>
    <w:p>
      <w:pPr>
        <w:pStyle w:val="34"/>
        <w:tabs>
          <w:tab w:val="right" w:leader="dot" w:pos="9747"/>
        </w:tabs>
        <w:spacing w:line="480" w:lineRule="auto"/>
        <w:rPr>
          <w:rFonts w:hint="eastAsia" w:hAnsi="宋体" w:eastAsia="宋体" w:cs="宋体"/>
          <w:b/>
          <w:bCs/>
          <w:color w:val="000000"/>
          <w:sz w:val="21"/>
          <w:szCs w:val="21"/>
          <w:lang w:eastAsia="zh-CN"/>
        </w:rPr>
      </w:pPr>
      <w:r>
        <w:fldChar w:fldCharType="begin"/>
      </w:r>
      <w:r>
        <w:instrText xml:space="preserve"> HYPERLINK \l "_Toc11219" </w:instrText>
      </w:r>
      <w:r>
        <w:fldChar w:fldCharType="separate"/>
      </w:r>
      <w:r>
        <w:rPr>
          <w:rFonts w:hint="eastAsia" w:hAnsi="宋体" w:cs="宋体"/>
          <w:b/>
          <w:bCs/>
          <w:color w:val="000000"/>
          <w:sz w:val="21"/>
          <w:szCs w:val="21"/>
        </w:rPr>
        <w:t>第四章  投标人的资格、资质性及其他类似效力要求</w:t>
      </w:r>
      <w:r>
        <w:rPr>
          <w:rFonts w:hint="eastAsia" w:hAnsi="宋体" w:cs="宋体"/>
          <w:b/>
          <w:bCs/>
          <w:color w:val="000000"/>
          <w:sz w:val="21"/>
          <w:szCs w:val="21"/>
        </w:rPr>
        <w:tab/>
      </w:r>
      <w:r>
        <w:rPr>
          <w:rFonts w:hint="eastAsia" w:hAnsi="宋体" w:cs="宋体"/>
          <w:b/>
          <w:bCs/>
          <w:color w:val="000000"/>
          <w:sz w:val="21"/>
          <w:szCs w:val="21"/>
        </w:rPr>
        <w:t>4</w:t>
      </w:r>
      <w:r>
        <w:rPr>
          <w:rFonts w:hint="eastAsia" w:hAnsi="宋体" w:cs="宋体"/>
          <w:b/>
          <w:bCs/>
          <w:color w:val="000000"/>
          <w:sz w:val="21"/>
          <w:szCs w:val="21"/>
        </w:rPr>
        <w:fldChar w:fldCharType="end"/>
      </w:r>
      <w:r>
        <w:rPr>
          <w:rFonts w:hint="eastAsia" w:hAnsi="宋体" w:cs="宋体"/>
          <w:b/>
          <w:bCs/>
          <w:color w:val="000000"/>
          <w:sz w:val="21"/>
          <w:szCs w:val="21"/>
          <w:lang w:val="en-US" w:eastAsia="zh-CN"/>
        </w:rPr>
        <w:t>5</w:t>
      </w:r>
    </w:p>
    <w:p>
      <w:pPr>
        <w:pStyle w:val="34"/>
        <w:tabs>
          <w:tab w:val="right" w:leader="dot" w:pos="9747"/>
        </w:tabs>
        <w:spacing w:line="480" w:lineRule="auto"/>
        <w:rPr>
          <w:rFonts w:hint="eastAsia" w:hAnsi="宋体" w:eastAsia="宋体" w:cs="宋体"/>
          <w:b/>
          <w:bCs/>
          <w:color w:val="000000"/>
          <w:sz w:val="21"/>
          <w:szCs w:val="21"/>
          <w:lang w:val="en-US" w:eastAsia="zh-CN"/>
        </w:rPr>
      </w:pPr>
      <w:r>
        <w:fldChar w:fldCharType="begin"/>
      </w:r>
      <w:r>
        <w:instrText xml:space="preserve"> HYPERLINK \l "_Toc21156" </w:instrText>
      </w:r>
      <w:r>
        <w:fldChar w:fldCharType="separate"/>
      </w:r>
      <w:r>
        <w:rPr>
          <w:rFonts w:hint="eastAsia" w:hAnsi="宋体" w:cs="宋体"/>
          <w:b/>
          <w:bCs/>
          <w:color w:val="000000"/>
          <w:sz w:val="21"/>
          <w:szCs w:val="21"/>
        </w:rPr>
        <w:t>第五章  投标人应当提供的资格、资质性及其他类似效力要求的相关证明材料</w:t>
      </w:r>
      <w:r>
        <w:rPr>
          <w:rFonts w:hint="eastAsia" w:hAnsi="宋体" w:cs="宋体"/>
          <w:b/>
          <w:bCs/>
          <w:color w:val="000000"/>
          <w:sz w:val="21"/>
          <w:szCs w:val="21"/>
        </w:rPr>
        <w:tab/>
      </w:r>
      <w:r>
        <w:rPr>
          <w:rFonts w:hint="eastAsia" w:hAnsi="宋体" w:cs="宋体"/>
          <w:b/>
          <w:bCs/>
          <w:color w:val="000000"/>
          <w:sz w:val="21"/>
          <w:szCs w:val="21"/>
          <w:lang w:val="en-US" w:eastAsia="zh-CN"/>
        </w:rPr>
        <w:t>4</w:t>
      </w:r>
      <w:r>
        <w:rPr>
          <w:rFonts w:hint="eastAsia" w:hAnsi="宋体" w:cs="宋体"/>
          <w:b/>
          <w:bCs/>
          <w:color w:val="000000"/>
          <w:sz w:val="21"/>
          <w:szCs w:val="21"/>
        </w:rPr>
        <w:fldChar w:fldCharType="end"/>
      </w:r>
      <w:r>
        <w:rPr>
          <w:rFonts w:hint="eastAsia" w:hAnsi="宋体" w:cs="宋体"/>
          <w:b/>
          <w:bCs/>
          <w:color w:val="000000"/>
          <w:sz w:val="21"/>
          <w:szCs w:val="21"/>
          <w:lang w:val="en-US" w:eastAsia="zh-CN"/>
        </w:rPr>
        <w:t>6</w:t>
      </w:r>
    </w:p>
    <w:p>
      <w:pPr>
        <w:pStyle w:val="34"/>
        <w:tabs>
          <w:tab w:val="right" w:leader="dot" w:pos="9747"/>
        </w:tabs>
        <w:spacing w:line="480" w:lineRule="auto"/>
        <w:rPr>
          <w:rFonts w:hint="eastAsia" w:hAnsi="宋体" w:eastAsia="宋体" w:cs="宋体"/>
          <w:b/>
          <w:bCs/>
          <w:color w:val="000000"/>
          <w:sz w:val="21"/>
          <w:szCs w:val="21"/>
          <w:lang w:val="en-US" w:eastAsia="zh-CN"/>
        </w:rPr>
      </w:pPr>
      <w:r>
        <w:fldChar w:fldCharType="begin"/>
      </w:r>
      <w:r>
        <w:instrText xml:space="preserve"> HYPERLINK \l "_Toc17270" </w:instrText>
      </w:r>
      <w:r>
        <w:fldChar w:fldCharType="separate"/>
      </w:r>
      <w:r>
        <w:rPr>
          <w:rFonts w:hint="eastAsia" w:hAnsi="宋体" w:cs="宋体"/>
          <w:b/>
          <w:bCs/>
          <w:color w:val="000000"/>
          <w:sz w:val="21"/>
          <w:szCs w:val="21"/>
        </w:rPr>
        <w:t>第六章  招标项目技术、服务、商务及其他要求</w:t>
      </w:r>
      <w:r>
        <w:rPr>
          <w:rFonts w:hint="eastAsia" w:hAnsi="宋体" w:cs="宋体"/>
          <w:b/>
          <w:bCs/>
          <w:color w:val="000000"/>
          <w:sz w:val="21"/>
          <w:szCs w:val="21"/>
        </w:rPr>
        <w:tab/>
      </w:r>
      <w:r>
        <w:rPr>
          <w:rFonts w:hint="eastAsia" w:hAnsi="宋体" w:cs="宋体"/>
          <w:b/>
          <w:bCs/>
          <w:color w:val="000000"/>
          <w:sz w:val="21"/>
          <w:szCs w:val="21"/>
          <w:lang w:val="en-US" w:eastAsia="zh-CN"/>
        </w:rPr>
        <w:t>4</w:t>
      </w:r>
      <w:r>
        <w:rPr>
          <w:rFonts w:hint="eastAsia" w:hAnsi="宋体" w:cs="宋体"/>
          <w:b/>
          <w:bCs/>
          <w:color w:val="000000"/>
          <w:sz w:val="21"/>
          <w:szCs w:val="21"/>
        </w:rPr>
        <w:fldChar w:fldCharType="end"/>
      </w:r>
      <w:r>
        <w:rPr>
          <w:rFonts w:hint="eastAsia" w:hAnsi="宋体" w:cs="宋体"/>
          <w:b/>
          <w:bCs/>
          <w:color w:val="000000"/>
          <w:sz w:val="21"/>
          <w:szCs w:val="21"/>
          <w:lang w:val="en-US" w:eastAsia="zh-CN"/>
        </w:rPr>
        <w:t>8</w:t>
      </w:r>
    </w:p>
    <w:p>
      <w:pPr>
        <w:pStyle w:val="34"/>
        <w:tabs>
          <w:tab w:val="right" w:leader="dot" w:pos="9747"/>
        </w:tabs>
        <w:spacing w:line="480" w:lineRule="auto"/>
        <w:rPr>
          <w:rFonts w:hAnsi="宋体" w:cs="宋体"/>
          <w:b/>
          <w:bCs/>
          <w:color w:val="000000"/>
          <w:sz w:val="21"/>
          <w:szCs w:val="21"/>
        </w:rPr>
      </w:pPr>
      <w:r>
        <w:fldChar w:fldCharType="begin"/>
      </w:r>
      <w:r>
        <w:instrText xml:space="preserve"> HYPERLINK \l "_Toc28832" </w:instrText>
      </w:r>
      <w:r>
        <w:fldChar w:fldCharType="separate"/>
      </w:r>
      <w:r>
        <w:rPr>
          <w:rFonts w:hint="eastAsia" w:hAnsi="宋体" w:cs="宋体"/>
          <w:b/>
          <w:bCs/>
          <w:color w:val="000000"/>
          <w:sz w:val="21"/>
          <w:szCs w:val="21"/>
        </w:rPr>
        <w:t>第七章  评标办法</w:t>
      </w:r>
      <w:r>
        <w:rPr>
          <w:rFonts w:hint="eastAsia" w:hAnsi="宋体" w:cs="宋体"/>
          <w:b/>
          <w:bCs/>
          <w:color w:val="000000"/>
          <w:sz w:val="21"/>
          <w:szCs w:val="21"/>
        </w:rPr>
        <w:tab/>
      </w:r>
      <w:r>
        <w:rPr>
          <w:rFonts w:hint="eastAsia" w:hAnsi="宋体" w:cs="宋体"/>
          <w:b/>
          <w:bCs/>
          <w:color w:val="000000"/>
          <w:sz w:val="21"/>
          <w:szCs w:val="21"/>
        </w:rPr>
        <w:fldChar w:fldCharType="begin"/>
      </w:r>
      <w:r>
        <w:rPr>
          <w:rFonts w:hint="eastAsia" w:hAnsi="宋体" w:cs="宋体"/>
          <w:b/>
          <w:bCs/>
          <w:color w:val="000000"/>
          <w:sz w:val="21"/>
          <w:szCs w:val="21"/>
        </w:rPr>
        <w:instrText xml:space="preserve"> PAGEREF _Toc28832 </w:instrText>
      </w:r>
      <w:r>
        <w:rPr>
          <w:rFonts w:hint="eastAsia" w:hAnsi="宋体" w:cs="宋体"/>
          <w:b/>
          <w:bCs/>
          <w:color w:val="000000"/>
          <w:sz w:val="21"/>
          <w:szCs w:val="21"/>
        </w:rPr>
        <w:fldChar w:fldCharType="separate"/>
      </w:r>
      <w:r>
        <w:rPr>
          <w:rFonts w:hint="eastAsia" w:hAnsi="宋体" w:cs="宋体"/>
          <w:b/>
          <w:bCs/>
          <w:color w:val="000000"/>
          <w:sz w:val="21"/>
          <w:szCs w:val="21"/>
        </w:rPr>
        <w:t>5</w:t>
      </w:r>
      <w:r>
        <w:rPr>
          <w:rFonts w:hint="eastAsia" w:hAnsi="宋体" w:cs="宋体"/>
          <w:b/>
          <w:bCs/>
          <w:color w:val="000000"/>
          <w:sz w:val="21"/>
          <w:szCs w:val="21"/>
          <w:lang w:val="en-US" w:eastAsia="zh-CN"/>
        </w:rPr>
        <w:t>8</w:t>
      </w:r>
      <w:r>
        <w:rPr>
          <w:rFonts w:hint="eastAsia" w:hAnsi="宋体" w:cs="宋体"/>
          <w:b/>
          <w:bCs/>
          <w:color w:val="000000"/>
          <w:sz w:val="21"/>
          <w:szCs w:val="21"/>
        </w:rPr>
        <w:fldChar w:fldCharType="end"/>
      </w:r>
      <w:r>
        <w:rPr>
          <w:rFonts w:hint="eastAsia" w:hAnsi="宋体" w:cs="宋体"/>
          <w:b/>
          <w:bCs/>
          <w:color w:val="000000"/>
          <w:sz w:val="21"/>
          <w:szCs w:val="21"/>
        </w:rPr>
        <w:fldChar w:fldCharType="end"/>
      </w:r>
    </w:p>
    <w:p>
      <w:pPr>
        <w:pStyle w:val="34"/>
        <w:tabs>
          <w:tab w:val="right" w:leader="dot" w:pos="9747"/>
        </w:tabs>
        <w:spacing w:line="480" w:lineRule="auto"/>
        <w:rPr>
          <w:rFonts w:hAnsi="宋体" w:cs="宋体"/>
          <w:b/>
          <w:bCs/>
          <w:color w:val="000000"/>
          <w:sz w:val="21"/>
          <w:szCs w:val="21"/>
        </w:rPr>
      </w:pPr>
      <w:r>
        <w:fldChar w:fldCharType="begin"/>
      </w:r>
      <w:r>
        <w:instrText xml:space="preserve"> HYPERLINK \l "_Toc7152" </w:instrText>
      </w:r>
      <w:r>
        <w:fldChar w:fldCharType="separate"/>
      </w:r>
      <w:r>
        <w:rPr>
          <w:rFonts w:hint="eastAsia" w:hAnsi="宋体" w:cs="宋体"/>
          <w:b/>
          <w:bCs/>
          <w:color w:val="000000"/>
          <w:kern w:val="44"/>
          <w:sz w:val="21"/>
          <w:szCs w:val="21"/>
        </w:rPr>
        <w:t>第八章  政府采购</w:t>
      </w:r>
      <w:bookmarkStart w:id="8" w:name="_Hlt41386165"/>
      <w:bookmarkStart w:id="9" w:name="_Hlt41386164"/>
      <w:r>
        <w:rPr>
          <w:rFonts w:hint="eastAsia" w:hAnsi="宋体" w:cs="宋体"/>
          <w:b/>
          <w:bCs/>
          <w:color w:val="000000"/>
          <w:kern w:val="44"/>
          <w:sz w:val="21"/>
          <w:szCs w:val="21"/>
        </w:rPr>
        <w:t>合</w:t>
      </w:r>
      <w:bookmarkEnd w:id="8"/>
      <w:bookmarkEnd w:id="9"/>
      <w:r>
        <w:rPr>
          <w:rFonts w:hint="eastAsia" w:hAnsi="宋体" w:cs="宋体"/>
          <w:b/>
          <w:bCs/>
          <w:color w:val="000000"/>
          <w:kern w:val="44"/>
          <w:sz w:val="21"/>
          <w:szCs w:val="21"/>
        </w:rPr>
        <w:t>同（样例）</w:t>
      </w:r>
      <w:r>
        <w:rPr>
          <w:rFonts w:hint="eastAsia" w:hAnsi="宋体" w:cs="宋体"/>
          <w:b/>
          <w:bCs/>
          <w:color w:val="000000"/>
          <w:sz w:val="21"/>
          <w:szCs w:val="21"/>
        </w:rPr>
        <w:tab/>
      </w:r>
      <w:r>
        <w:rPr>
          <w:rFonts w:hint="eastAsia" w:hAnsi="宋体" w:cs="宋体"/>
          <w:b/>
          <w:bCs/>
          <w:color w:val="000000"/>
          <w:sz w:val="21"/>
          <w:szCs w:val="21"/>
          <w:lang w:val="en-US" w:eastAsia="zh-CN"/>
        </w:rPr>
        <w:t>71</w:t>
      </w:r>
      <w:r>
        <w:rPr>
          <w:rFonts w:hint="eastAsia" w:hAnsi="宋体" w:cs="宋体"/>
          <w:b/>
          <w:bCs/>
          <w:color w:val="000000"/>
          <w:sz w:val="21"/>
          <w:szCs w:val="21"/>
        </w:rPr>
        <w:fldChar w:fldCharType="end"/>
      </w:r>
    </w:p>
    <w:p>
      <w:pPr>
        <w:spacing w:line="480" w:lineRule="auto"/>
        <w:jc w:val="left"/>
        <w:rPr>
          <w:color w:val="000000"/>
        </w:rPr>
      </w:pPr>
      <w:r>
        <w:rPr>
          <w:rFonts w:hint="eastAsia" w:ascii="宋体" w:hAnsi="宋体" w:cs="宋体"/>
          <w:b/>
          <w:bCs/>
          <w:color w:val="000000"/>
          <w:szCs w:val="21"/>
        </w:rPr>
        <w:fldChar w:fldCharType="end"/>
      </w:r>
    </w:p>
    <w:p>
      <w:pPr>
        <w:pStyle w:val="34"/>
        <w:tabs>
          <w:tab w:val="right" w:leader="dot" w:pos="9737"/>
        </w:tabs>
        <w:spacing w:line="360" w:lineRule="auto"/>
        <w:rPr>
          <w:rFonts w:ascii="Calibri"/>
          <w:b/>
          <w:color w:val="000000"/>
          <w:kern w:val="2"/>
          <w:sz w:val="24"/>
          <w:szCs w:val="28"/>
        </w:rPr>
      </w:pPr>
      <w:r>
        <w:rPr>
          <w:rFonts w:hAnsi="宋体"/>
          <w:b/>
          <w:color w:val="000000"/>
          <w:sz w:val="24"/>
          <w:szCs w:val="28"/>
        </w:rPr>
        <w:fldChar w:fldCharType="begin"/>
      </w:r>
      <w:r>
        <w:rPr>
          <w:rFonts w:hAnsi="宋体"/>
          <w:b/>
          <w:color w:val="000000"/>
          <w:sz w:val="24"/>
          <w:szCs w:val="28"/>
        </w:rPr>
        <w:instrText xml:space="preserve"> TOC \o "1-1" \h \z \u </w:instrText>
      </w:r>
      <w:r>
        <w:rPr>
          <w:rFonts w:hAnsi="宋体"/>
          <w:b/>
          <w:color w:val="000000"/>
          <w:sz w:val="24"/>
          <w:szCs w:val="28"/>
        </w:rPr>
        <w:fldChar w:fldCharType="separate"/>
      </w:r>
    </w:p>
    <w:p>
      <w:pPr>
        <w:spacing w:line="360" w:lineRule="auto"/>
        <w:rPr>
          <w:color w:val="000000"/>
          <w:sz w:val="24"/>
        </w:rPr>
      </w:pPr>
      <w:r>
        <w:rPr>
          <w:rFonts w:ascii="宋体" w:hAnsi="宋体"/>
          <w:b/>
          <w:color w:val="000000"/>
          <w:sz w:val="24"/>
          <w:szCs w:val="28"/>
        </w:rPr>
        <w:fldChar w:fldCharType="end"/>
      </w:r>
    </w:p>
    <w:p>
      <w:pPr>
        <w:spacing w:line="360" w:lineRule="auto"/>
        <w:rPr>
          <w:color w:val="000000"/>
          <w:sz w:val="24"/>
        </w:rPr>
      </w:pPr>
    </w:p>
    <w:p>
      <w:pPr>
        <w:rPr>
          <w:color w:val="000000"/>
        </w:rPr>
      </w:pPr>
    </w:p>
    <w:p>
      <w:pPr>
        <w:rPr>
          <w:color w:val="000000"/>
        </w:rPr>
      </w:pPr>
    </w:p>
    <w:p>
      <w:pPr>
        <w:rPr>
          <w:color w:val="000000"/>
        </w:rPr>
      </w:pPr>
    </w:p>
    <w:p>
      <w:pPr>
        <w:pStyle w:val="2"/>
        <w:jc w:val="center"/>
        <w:rPr>
          <w:color w:val="000000"/>
        </w:rPr>
      </w:pPr>
      <w:bookmarkStart w:id="10" w:name="_Toc421005874"/>
      <w:bookmarkStart w:id="11" w:name="_Toc448150553"/>
      <w:bookmarkStart w:id="12" w:name="_Toc32652"/>
    </w:p>
    <w:p>
      <w:pPr>
        <w:rPr>
          <w:color w:val="000000"/>
        </w:rPr>
      </w:pPr>
    </w:p>
    <w:p>
      <w:pPr>
        <w:pStyle w:val="21"/>
        <w:rPr>
          <w:color w:val="000000"/>
        </w:rPr>
      </w:pPr>
    </w:p>
    <w:p>
      <w:pPr>
        <w:rPr>
          <w:color w:val="000000"/>
        </w:rPr>
      </w:pPr>
    </w:p>
    <w:p>
      <w:pPr>
        <w:pStyle w:val="21"/>
        <w:rPr>
          <w:color w:val="000000"/>
        </w:rPr>
      </w:pPr>
    </w:p>
    <w:p>
      <w:pPr>
        <w:rPr>
          <w:color w:val="000000"/>
        </w:rPr>
      </w:pPr>
    </w:p>
    <w:p>
      <w:pPr>
        <w:pStyle w:val="21"/>
        <w:rPr>
          <w:color w:val="000000"/>
        </w:rPr>
      </w:pPr>
    </w:p>
    <w:p>
      <w:pPr>
        <w:rPr>
          <w:color w:val="000000"/>
        </w:rPr>
      </w:pPr>
    </w:p>
    <w:p>
      <w:pPr>
        <w:pStyle w:val="21"/>
        <w:rPr>
          <w:color w:val="000000"/>
        </w:rPr>
      </w:pPr>
    </w:p>
    <w:p>
      <w:pPr>
        <w:rPr>
          <w:color w:val="000000"/>
        </w:rPr>
      </w:pPr>
    </w:p>
    <w:p>
      <w:pPr>
        <w:pStyle w:val="21"/>
        <w:rPr>
          <w:color w:val="000000"/>
        </w:rPr>
      </w:pPr>
    </w:p>
    <w:p/>
    <w:p>
      <w:bookmarkStart w:id="13" w:name="_Toc3272"/>
      <w:bookmarkStart w:id="14" w:name="_Toc24556237"/>
      <w:bookmarkStart w:id="15" w:name="_Toc23764"/>
      <w:bookmarkStart w:id="16" w:name="_Toc22107"/>
    </w:p>
    <w:p/>
    <w:p>
      <w:pPr>
        <w:pStyle w:val="2"/>
        <w:spacing w:before="0" w:line="500" w:lineRule="exact"/>
        <w:jc w:val="center"/>
        <w:rPr>
          <w:color w:val="000000"/>
          <w:szCs w:val="44"/>
        </w:rPr>
      </w:pPr>
    </w:p>
    <w:p>
      <w:pPr>
        <w:pStyle w:val="2"/>
        <w:spacing w:before="0" w:line="500" w:lineRule="exact"/>
        <w:jc w:val="center"/>
        <w:rPr>
          <w:color w:val="000000"/>
          <w:szCs w:val="44"/>
        </w:rPr>
      </w:pPr>
      <w:r>
        <w:rPr>
          <w:rFonts w:hint="eastAsia"/>
          <w:color w:val="000000"/>
          <w:szCs w:val="44"/>
        </w:rPr>
        <w:t>第一章  投标邀请</w:t>
      </w:r>
      <w:bookmarkEnd w:id="3"/>
      <w:bookmarkEnd w:id="4"/>
      <w:bookmarkEnd w:id="10"/>
      <w:bookmarkEnd w:id="11"/>
      <w:bookmarkEnd w:id="12"/>
      <w:bookmarkEnd w:id="13"/>
      <w:bookmarkEnd w:id="14"/>
      <w:bookmarkEnd w:id="15"/>
      <w:bookmarkEnd w:id="16"/>
    </w:p>
    <w:p>
      <w:pPr>
        <w:spacing w:line="420" w:lineRule="exact"/>
        <w:ind w:firstLine="482" w:firstLineChars="200"/>
        <w:rPr>
          <w:rFonts w:ascii="宋体" w:hAnsi="宋体" w:cs="宋体"/>
          <w:b/>
          <w:bCs/>
          <w:color w:val="000000"/>
          <w:sz w:val="24"/>
          <w:u w:val="single"/>
        </w:rPr>
      </w:pPr>
      <w:bookmarkStart w:id="17" w:name="OLE_LINK7"/>
    </w:p>
    <w:p>
      <w:pPr>
        <w:spacing w:line="420" w:lineRule="exact"/>
        <w:ind w:firstLine="482" w:firstLineChars="200"/>
        <w:rPr>
          <w:rFonts w:ascii="宋体" w:hAnsi="宋体" w:cs="宋体"/>
          <w:color w:val="000000"/>
          <w:sz w:val="24"/>
        </w:rPr>
      </w:pPr>
      <w:r>
        <w:rPr>
          <w:rFonts w:hint="eastAsia" w:ascii="宋体" w:hAnsi="宋体" w:cs="宋体"/>
          <w:b/>
          <w:bCs/>
          <w:color w:val="000000"/>
          <w:sz w:val="24"/>
          <w:u w:val="single"/>
        </w:rPr>
        <w:t>宜宾麒森建设工程管理有限公司</w:t>
      </w:r>
      <w:r>
        <w:rPr>
          <w:rFonts w:hint="eastAsia" w:ascii="宋体"/>
          <w:color w:val="000000"/>
          <w:sz w:val="24"/>
        </w:rPr>
        <w:t>（采购代理机构）</w:t>
      </w:r>
      <w:r>
        <w:rPr>
          <w:rFonts w:hint="eastAsia" w:ascii="宋体" w:hAnsi="宋体" w:cs="宋体"/>
          <w:color w:val="000000"/>
          <w:sz w:val="24"/>
        </w:rPr>
        <w:t>受</w:t>
      </w:r>
      <w:r>
        <w:rPr>
          <w:rFonts w:hint="eastAsia" w:ascii="宋体" w:hAnsi="宋体" w:cs="宋体"/>
          <w:b/>
          <w:bCs/>
          <w:sz w:val="24"/>
          <w:u w:val="single"/>
          <w:lang w:eastAsia="zh-CN"/>
        </w:rPr>
        <w:t>高县人民医院</w:t>
      </w:r>
      <w:r>
        <w:rPr>
          <w:rFonts w:hint="eastAsia" w:ascii="宋体"/>
          <w:b/>
          <w:bCs/>
          <w:color w:val="000000"/>
          <w:sz w:val="24"/>
        </w:rPr>
        <w:t>（采购人）</w:t>
      </w:r>
      <w:r>
        <w:rPr>
          <w:rFonts w:hint="eastAsia" w:ascii="宋体" w:hAnsi="宋体" w:cs="宋体"/>
          <w:color w:val="000000"/>
          <w:sz w:val="24"/>
        </w:rPr>
        <w:t>委托，拟</w:t>
      </w:r>
      <w:r>
        <w:rPr>
          <w:rFonts w:hint="eastAsia" w:ascii="宋体" w:hAnsi="宋体" w:cs="宋体"/>
          <w:bCs/>
          <w:color w:val="000000"/>
          <w:sz w:val="24"/>
        </w:rPr>
        <w:t>对</w:t>
      </w:r>
      <w:r>
        <w:rPr>
          <w:rFonts w:hint="eastAsia" w:ascii="宋体" w:hAnsi="宋体" w:cs="宋体"/>
          <w:bCs/>
          <w:color w:val="000000"/>
          <w:sz w:val="24"/>
          <w:u w:val="single"/>
        </w:rPr>
        <w:t>高县人民医院全院污水处理站运维服务</w:t>
      </w:r>
      <w:r>
        <w:rPr>
          <w:rFonts w:hint="eastAsia" w:ascii="宋体" w:hAnsi="宋体" w:cs="宋体"/>
          <w:bCs/>
          <w:color w:val="000000"/>
          <w:sz w:val="24"/>
          <w:u w:val="single"/>
          <w:lang w:eastAsia="zh-CN"/>
        </w:rPr>
        <w:t>项目</w:t>
      </w:r>
      <w:r>
        <w:rPr>
          <w:rFonts w:hint="eastAsia" w:ascii="宋体" w:hAnsi="宋体" w:cs="宋体"/>
          <w:color w:val="000000"/>
          <w:sz w:val="24"/>
        </w:rPr>
        <w:t>进行国内</w:t>
      </w:r>
      <w:r>
        <w:rPr>
          <w:rFonts w:hint="eastAsia" w:ascii="宋体" w:hAnsi="宋体" w:cs="宋体"/>
          <w:b/>
          <w:color w:val="auto"/>
          <w:sz w:val="24"/>
          <w:u w:val="single"/>
          <w:lang w:val="en-US" w:eastAsia="zh-CN"/>
        </w:rPr>
        <w:t>竞争性磋商</w:t>
      </w:r>
      <w:r>
        <w:rPr>
          <w:rFonts w:hint="eastAsia" w:ascii="宋体" w:hAnsi="宋体" w:cs="宋体"/>
          <w:color w:val="000000"/>
          <w:sz w:val="24"/>
        </w:rPr>
        <w:t>，兹邀请符合本次招标要求的投标人参加投标。</w:t>
      </w:r>
    </w:p>
    <w:p>
      <w:pPr>
        <w:spacing w:line="420" w:lineRule="exact"/>
        <w:ind w:firstLine="482" w:firstLineChars="200"/>
        <w:rPr>
          <w:rFonts w:hint="default" w:ascii="宋体" w:hAnsi="宋体" w:eastAsia="宋体" w:cs="宋体"/>
          <w:bCs/>
          <w:color w:val="000000"/>
          <w:sz w:val="24"/>
          <w:lang w:val="en-US" w:eastAsia="zh-CN"/>
        </w:rPr>
      </w:pPr>
      <w:r>
        <w:rPr>
          <w:rFonts w:hint="eastAsia" w:ascii="宋体" w:hAnsi="宋体" w:cs="宋体"/>
          <w:b/>
          <w:color w:val="000000"/>
          <w:sz w:val="24"/>
        </w:rPr>
        <w:t>一、项目编号：</w:t>
      </w:r>
      <w:r>
        <w:rPr>
          <w:rFonts w:hint="eastAsia" w:ascii="宋体" w:hAnsi="宋体" w:cs="宋体"/>
          <w:b/>
          <w:sz w:val="24"/>
        </w:rPr>
        <w:t>YBQS-2024-</w:t>
      </w:r>
      <w:r>
        <w:rPr>
          <w:rFonts w:hint="eastAsia" w:ascii="宋体" w:hAnsi="宋体" w:cs="宋体"/>
          <w:b/>
          <w:sz w:val="24"/>
          <w:lang w:val="en-US" w:eastAsia="zh-CN"/>
        </w:rPr>
        <w:t>0409</w:t>
      </w:r>
    </w:p>
    <w:p>
      <w:pPr>
        <w:spacing w:line="420" w:lineRule="exact"/>
        <w:ind w:firstLine="482" w:firstLineChars="200"/>
        <w:rPr>
          <w:rFonts w:hint="eastAsia" w:ascii="宋体" w:hAnsi="宋体" w:eastAsia="宋体" w:cs="宋体"/>
          <w:bCs/>
          <w:color w:val="000000"/>
          <w:sz w:val="24"/>
          <w:lang w:eastAsia="zh-CN"/>
        </w:rPr>
      </w:pPr>
      <w:r>
        <w:rPr>
          <w:rFonts w:hint="eastAsia" w:ascii="宋体" w:hAnsi="宋体" w:cs="宋体"/>
          <w:b/>
          <w:color w:val="000000"/>
          <w:sz w:val="24"/>
        </w:rPr>
        <w:t>二、招标项目：</w:t>
      </w:r>
      <w:r>
        <w:rPr>
          <w:rFonts w:hint="eastAsia" w:ascii="宋体" w:hAnsi="宋体" w:cs="宋体"/>
          <w:sz w:val="24"/>
          <w:lang w:eastAsia="zh-CN"/>
        </w:rPr>
        <w:t>高县人民医院全院污水处理站运维服务项目</w:t>
      </w:r>
    </w:p>
    <w:p>
      <w:pPr>
        <w:spacing w:line="420" w:lineRule="exact"/>
        <w:ind w:firstLine="482" w:firstLineChars="200"/>
        <w:rPr>
          <w:rFonts w:hint="eastAsia" w:hAnsi="宋体" w:eastAsia="宋体" w:cs="宋体"/>
          <w:color w:val="000000"/>
          <w:sz w:val="24"/>
          <w:highlight w:val="yellow"/>
          <w:lang w:eastAsia="zh-CN"/>
        </w:rPr>
      </w:pPr>
      <w:r>
        <w:rPr>
          <w:rFonts w:hint="eastAsia" w:ascii="宋体" w:hAnsi="宋体" w:cs="宋体"/>
          <w:b/>
          <w:color w:val="000000"/>
          <w:sz w:val="24"/>
        </w:rPr>
        <w:t>三、资金来源：</w:t>
      </w:r>
      <w:r>
        <w:rPr>
          <w:rFonts w:hint="eastAsia" w:hAnsi="宋体" w:cs="宋体"/>
          <w:color w:val="000000"/>
          <w:sz w:val="24"/>
          <w:lang w:eastAsia="zh-CN"/>
        </w:rPr>
        <w:t>自筹</w:t>
      </w:r>
    </w:p>
    <w:p>
      <w:pPr>
        <w:spacing w:line="420" w:lineRule="exact"/>
        <w:ind w:firstLine="964" w:firstLineChars="400"/>
        <w:rPr>
          <w:rFonts w:ascii="宋体" w:hAnsi="宋体" w:cs="宋体"/>
          <w:bCs/>
          <w:color w:val="000000"/>
          <w:sz w:val="24"/>
        </w:rPr>
      </w:pPr>
      <w:r>
        <w:rPr>
          <w:rFonts w:hint="eastAsia" w:hAnsi="宋体" w:cs="宋体"/>
          <w:b/>
          <w:bCs/>
          <w:color w:val="000000"/>
          <w:sz w:val="24"/>
        </w:rPr>
        <w:t>采购预算</w:t>
      </w:r>
      <w:r>
        <w:rPr>
          <w:rFonts w:hint="eastAsia" w:hAnsi="宋体" w:cs="宋体"/>
          <w:color w:val="000000"/>
          <w:sz w:val="24"/>
        </w:rPr>
        <w:t>：</w:t>
      </w:r>
      <w:r>
        <w:rPr>
          <w:rFonts w:hint="eastAsia" w:hAnsi="宋体" w:cs="宋体"/>
          <w:color w:val="000000"/>
          <w:sz w:val="24"/>
          <w:lang w:val="en-US" w:eastAsia="zh-CN"/>
        </w:rPr>
        <w:t>287661</w:t>
      </w:r>
      <w:r>
        <w:rPr>
          <w:rFonts w:hint="eastAsia" w:hAnsi="宋体" w:cs="宋体"/>
          <w:color w:val="000000"/>
          <w:sz w:val="24"/>
        </w:rPr>
        <w:t>元/年。</w:t>
      </w:r>
    </w:p>
    <w:p>
      <w:pPr>
        <w:spacing w:line="420" w:lineRule="exact"/>
        <w:ind w:firstLine="482" w:firstLineChars="200"/>
        <w:rPr>
          <w:rFonts w:ascii="宋体" w:hAnsi="宋体" w:cs="宋体"/>
          <w:b/>
          <w:color w:val="000000"/>
          <w:sz w:val="24"/>
        </w:rPr>
      </w:pPr>
      <w:r>
        <w:rPr>
          <w:rFonts w:hint="eastAsia" w:ascii="宋体" w:hAnsi="宋体" w:cs="宋体"/>
          <w:b/>
          <w:color w:val="000000"/>
          <w:sz w:val="24"/>
        </w:rPr>
        <w:t>四</w:t>
      </w:r>
      <w:r>
        <w:rPr>
          <w:rFonts w:hint="eastAsia" w:ascii="宋体" w:hAnsi="宋体" w:cs="宋体"/>
          <w:b/>
          <w:bCs/>
          <w:color w:val="000000"/>
          <w:sz w:val="24"/>
        </w:rPr>
        <w:t>、</w:t>
      </w:r>
      <w:r>
        <w:rPr>
          <w:rFonts w:hint="eastAsia" w:ascii="宋体" w:hAnsi="宋体" w:cs="宋体"/>
          <w:b/>
          <w:color w:val="000000"/>
          <w:sz w:val="24"/>
        </w:rPr>
        <w:t>招标项目简介：</w:t>
      </w:r>
    </w:p>
    <w:p>
      <w:pPr>
        <w:spacing w:line="420" w:lineRule="exact"/>
        <w:ind w:firstLine="480" w:firstLineChars="200"/>
        <w:rPr>
          <w:rFonts w:hAnsi="宋体"/>
          <w:bCs/>
          <w:color w:val="000000"/>
          <w:sz w:val="24"/>
        </w:rPr>
      </w:pPr>
      <w:r>
        <w:rPr>
          <w:rFonts w:hAnsi="宋体"/>
          <w:bCs/>
          <w:color w:val="000000"/>
          <w:sz w:val="24"/>
        </w:rPr>
        <w:t>1</w:t>
      </w:r>
      <w:r>
        <w:rPr>
          <w:rFonts w:hint="eastAsia" w:hAnsi="宋体"/>
          <w:bCs/>
          <w:color w:val="000000"/>
          <w:sz w:val="24"/>
        </w:rPr>
        <w:t>、采购内容：</w:t>
      </w:r>
      <w:r>
        <w:rPr>
          <w:rFonts w:hint="eastAsia" w:ascii="宋体" w:hAnsi="宋体" w:cs="宋体"/>
          <w:bCs/>
          <w:color w:val="000000"/>
          <w:sz w:val="24"/>
        </w:rPr>
        <w:t>采用</w:t>
      </w:r>
      <w:r>
        <w:rPr>
          <w:rFonts w:hint="eastAsia" w:ascii="宋体" w:hAnsi="宋体" w:cs="宋体"/>
          <w:bCs/>
          <w:color w:val="auto"/>
          <w:sz w:val="24"/>
          <w:lang w:val="en-US" w:eastAsia="zh-CN"/>
        </w:rPr>
        <w:t>竞争性磋商</w:t>
      </w:r>
      <w:r>
        <w:rPr>
          <w:rFonts w:hint="eastAsia" w:ascii="宋体" w:hAnsi="宋体" w:cs="宋体"/>
          <w:bCs/>
          <w:color w:val="000000"/>
          <w:sz w:val="24"/>
        </w:rPr>
        <w:t>的方式选择一家供应商提供本项目所需服务（详见招标文件第六章）</w:t>
      </w:r>
    </w:p>
    <w:p>
      <w:pPr>
        <w:spacing w:line="420" w:lineRule="exact"/>
        <w:ind w:firstLine="480" w:firstLineChars="200"/>
        <w:rPr>
          <w:rFonts w:hAnsi="宋体"/>
          <w:bCs/>
          <w:color w:val="000000"/>
          <w:sz w:val="24"/>
        </w:rPr>
      </w:pPr>
      <w:r>
        <w:rPr>
          <w:rFonts w:hint="eastAsia" w:hAnsi="宋体"/>
          <w:bCs/>
          <w:color w:val="000000"/>
          <w:sz w:val="24"/>
        </w:rPr>
        <w:t>2、项目性质：政府采购。</w:t>
      </w:r>
    </w:p>
    <w:p>
      <w:pPr>
        <w:spacing w:line="420" w:lineRule="exact"/>
        <w:ind w:firstLine="480" w:firstLineChars="200"/>
        <w:rPr>
          <w:highlight w:val="none"/>
        </w:rPr>
      </w:pPr>
      <w:r>
        <w:rPr>
          <w:rFonts w:hint="eastAsia" w:hAnsi="宋体"/>
          <w:bCs/>
          <w:color w:val="000000"/>
          <w:sz w:val="24"/>
        </w:rPr>
        <w:t>3、本项目采购标的为：</w:t>
      </w:r>
      <w:r>
        <w:rPr>
          <w:rFonts w:hint="eastAsia" w:ascii="宋体" w:hAnsi="宋体" w:cs="宋体"/>
          <w:sz w:val="24"/>
          <w:lang w:eastAsia="zh-CN"/>
        </w:rPr>
        <w:t>高县人民医院全院污水处理站运维服务项目</w:t>
      </w:r>
      <w:r>
        <w:rPr>
          <w:rFonts w:hint="eastAsia" w:hAnsi="宋体"/>
          <w:bCs/>
          <w:color w:val="000000"/>
          <w:sz w:val="24"/>
        </w:rPr>
        <w:t>，</w:t>
      </w:r>
      <w:r>
        <w:rPr>
          <w:rFonts w:hint="eastAsia" w:hAnsi="宋体"/>
          <w:bCs/>
          <w:color w:val="000000"/>
          <w:sz w:val="24"/>
          <w:highlight w:val="none"/>
        </w:rPr>
        <w:t>本项目采购对应的中小企业划分标准属于</w:t>
      </w:r>
      <w:r>
        <w:rPr>
          <w:rFonts w:hint="eastAsia" w:ascii="宋体" w:hAnsi="宋体" w:cs="宋体"/>
          <w:kern w:val="0"/>
          <w:sz w:val="24"/>
          <w:highlight w:val="none"/>
        </w:rPr>
        <w:t>其他未列明行业</w:t>
      </w:r>
      <w:r>
        <w:rPr>
          <w:rFonts w:hint="eastAsia" w:hAnsi="宋体"/>
          <w:bCs/>
          <w:color w:val="000000"/>
          <w:sz w:val="24"/>
          <w:highlight w:val="none"/>
        </w:rPr>
        <w:t>。</w:t>
      </w:r>
    </w:p>
    <w:p>
      <w:pPr>
        <w:spacing w:line="420" w:lineRule="exact"/>
        <w:ind w:firstLine="482" w:firstLineChars="200"/>
        <w:rPr>
          <w:rFonts w:ascii="宋体" w:hAnsi="宋体" w:cs="宋体"/>
          <w:b/>
          <w:bCs/>
          <w:color w:val="000000"/>
          <w:sz w:val="24"/>
        </w:rPr>
      </w:pPr>
      <w:r>
        <w:rPr>
          <w:rFonts w:hint="eastAsia" w:ascii="宋体" w:hAnsi="宋体" w:cs="宋体"/>
          <w:b/>
          <w:color w:val="000000"/>
          <w:sz w:val="24"/>
        </w:rPr>
        <w:t>五</w:t>
      </w:r>
      <w:r>
        <w:rPr>
          <w:rFonts w:hint="eastAsia" w:ascii="宋体" w:hAnsi="宋体" w:cs="宋体"/>
          <w:b/>
          <w:bCs/>
          <w:color w:val="000000"/>
          <w:sz w:val="24"/>
        </w:rPr>
        <w:t>、投标人应具备的资格条件：</w:t>
      </w:r>
    </w:p>
    <w:p>
      <w:pPr>
        <w:spacing w:line="420" w:lineRule="exact"/>
        <w:ind w:firstLine="482" w:firstLineChars="200"/>
        <w:rPr>
          <w:rFonts w:hAnsi="宋体"/>
          <w:b/>
          <w:color w:val="000000"/>
          <w:sz w:val="24"/>
        </w:rPr>
      </w:pPr>
      <w:bookmarkStart w:id="18" w:name="OLE_LINK8"/>
      <w:r>
        <w:rPr>
          <w:rFonts w:hint="eastAsia" w:hAnsi="宋体"/>
          <w:b/>
          <w:color w:val="000000"/>
          <w:sz w:val="24"/>
        </w:rPr>
        <w:t>（一）符合《中华人民共和国政府采购法》第二十二条规定的条件；</w:t>
      </w:r>
    </w:p>
    <w:p>
      <w:pPr>
        <w:spacing w:line="420" w:lineRule="exact"/>
        <w:ind w:firstLine="480" w:firstLineChars="200"/>
        <w:rPr>
          <w:rFonts w:hAnsi="宋体"/>
          <w:bCs/>
          <w:color w:val="000000"/>
          <w:sz w:val="24"/>
        </w:rPr>
      </w:pPr>
      <w:r>
        <w:rPr>
          <w:rFonts w:hint="eastAsia" w:hAnsi="宋体"/>
          <w:bCs/>
          <w:color w:val="000000"/>
          <w:sz w:val="24"/>
        </w:rPr>
        <w:t>1、具有独立承担民事责任的能力；</w:t>
      </w:r>
    </w:p>
    <w:p>
      <w:pPr>
        <w:spacing w:line="420" w:lineRule="exact"/>
        <w:ind w:firstLine="480" w:firstLineChars="200"/>
        <w:rPr>
          <w:rFonts w:hAnsi="宋体"/>
          <w:bCs/>
          <w:color w:val="000000"/>
          <w:sz w:val="24"/>
        </w:rPr>
      </w:pPr>
      <w:r>
        <w:rPr>
          <w:rFonts w:hint="eastAsia" w:hAnsi="宋体"/>
          <w:bCs/>
          <w:color w:val="000000"/>
          <w:sz w:val="24"/>
        </w:rPr>
        <w:t>2、具有良好的商业信誉和健全的财务会计制度；</w:t>
      </w:r>
    </w:p>
    <w:p>
      <w:pPr>
        <w:spacing w:line="420" w:lineRule="exact"/>
        <w:ind w:firstLine="480" w:firstLineChars="200"/>
        <w:rPr>
          <w:rFonts w:hAnsi="宋体"/>
          <w:bCs/>
          <w:color w:val="000000"/>
          <w:sz w:val="24"/>
        </w:rPr>
      </w:pPr>
      <w:r>
        <w:rPr>
          <w:rFonts w:hint="eastAsia" w:hAnsi="宋体"/>
          <w:bCs/>
          <w:color w:val="000000"/>
          <w:sz w:val="24"/>
        </w:rPr>
        <w:t>3、具有履行合同所必需的设备和专业技术能力；</w:t>
      </w:r>
    </w:p>
    <w:p>
      <w:pPr>
        <w:spacing w:line="420" w:lineRule="exact"/>
        <w:ind w:firstLine="480" w:firstLineChars="200"/>
        <w:rPr>
          <w:rFonts w:hAnsi="宋体"/>
          <w:bCs/>
          <w:color w:val="000000"/>
          <w:sz w:val="24"/>
        </w:rPr>
      </w:pPr>
      <w:r>
        <w:rPr>
          <w:rFonts w:hint="eastAsia" w:hAnsi="宋体"/>
          <w:bCs/>
          <w:color w:val="000000"/>
          <w:sz w:val="24"/>
        </w:rPr>
        <w:t>4、有依法缴纳税收和社会保障资金的良好记录；</w:t>
      </w:r>
    </w:p>
    <w:p>
      <w:pPr>
        <w:spacing w:line="420" w:lineRule="exact"/>
        <w:ind w:firstLine="480" w:firstLineChars="200"/>
        <w:rPr>
          <w:rFonts w:hAnsi="宋体"/>
          <w:bCs/>
          <w:color w:val="000000"/>
          <w:sz w:val="24"/>
        </w:rPr>
      </w:pPr>
      <w:r>
        <w:rPr>
          <w:rFonts w:hint="eastAsia" w:hAnsi="宋体"/>
          <w:bCs/>
          <w:color w:val="000000"/>
          <w:sz w:val="24"/>
        </w:rPr>
        <w:t>5、参加本次政府采购活动前三年内，在经营活动中没有重大违法记录。</w:t>
      </w:r>
    </w:p>
    <w:p>
      <w:pPr>
        <w:spacing w:line="420" w:lineRule="exact"/>
        <w:ind w:firstLine="480" w:firstLineChars="200"/>
        <w:rPr>
          <w:rFonts w:hAnsi="宋体"/>
          <w:bCs/>
          <w:color w:val="000000"/>
          <w:sz w:val="24"/>
        </w:rPr>
      </w:pPr>
      <w:r>
        <w:rPr>
          <w:rFonts w:hint="eastAsia" w:hAnsi="宋体"/>
          <w:bCs/>
          <w:color w:val="000000"/>
          <w:sz w:val="24"/>
        </w:rPr>
        <w:t>6、法律、行政法规规定的其他条件。</w:t>
      </w:r>
    </w:p>
    <w:p>
      <w:pPr>
        <w:spacing w:line="420" w:lineRule="exact"/>
        <w:ind w:firstLine="482" w:firstLineChars="200"/>
        <w:rPr>
          <w:rFonts w:hAnsi="宋体"/>
          <w:bCs/>
          <w:color w:val="000000"/>
          <w:sz w:val="24"/>
        </w:rPr>
      </w:pPr>
      <w:r>
        <w:rPr>
          <w:rFonts w:hint="eastAsia" w:hAnsi="宋体"/>
          <w:b/>
          <w:color w:val="000000"/>
          <w:sz w:val="24"/>
        </w:rPr>
        <w:t>（二）本项目提出的特殊要求：</w:t>
      </w:r>
    </w:p>
    <w:p>
      <w:pPr>
        <w:spacing w:line="420" w:lineRule="exact"/>
        <w:ind w:firstLine="480" w:firstLineChars="200"/>
        <w:jc w:val="left"/>
        <w:rPr>
          <w:rFonts w:hAnsi="宋体"/>
          <w:bCs/>
          <w:color w:val="000000"/>
          <w:sz w:val="24"/>
        </w:rPr>
      </w:pPr>
      <w:r>
        <w:rPr>
          <w:rFonts w:hint="eastAsia" w:hAnsi="宋体" w:cs="宋体"/>
          <w:sz w:val="24"/>
        </w:rPr>
        <w:t>（1）供应商需具有市场监管部门（工商行政管理部门）</w:t>
      </w:r>
      <w:r>
        <w:rPr>
          <w:rFonts w:hint="eastAsia" w:hAnsi="宋体" w:cs="宋体"/>
          <w:color w:val="000000"/>
          <w:sz w:val="24"/>
        </w:rPr>
        <w:t>核发的有效企业法人营业执照或事业单位法人证书</w:t>
      </w:r>
      <w:r>
        <w:rPr>
          <w:rFonts w:hint="eastAsia" w:hAnsi="宋体" w:cs="宋体"/>
          <w:color w:val="000000"/>
          <w:sz w:val="24"/>
          <w:lang w:val="zh-CN"/>
        </w:rPr>
        <w:t>。</w:t>
      </w:r>
    </w:p>
    <w:p>
      <w:pPr>
        <w:spacing w:line="420" w:lineRule="exact"/>
        <w:ind w:firstLine="482" w:firstLineChars="200"/>
        <w:rPr>
          <w:rFonts w:ascii="宋体" w:hAnsi="宋体" w:cs="宋体"/>
          <w:b/>
          <w:color w:val="000000"/>
          <w:sz w:val="24"/>
        </w:rPr>
      </w:pPr>
      <w:r>
        <w:rPr>
          <w:rFonts w:hint="eastAsia" w:hAnsi="宋体"/>
          <w:b/>
          <w:color w:val="000000"/>
          <w:sz w:val="24"/>
        </w:rPr>
        <w:t>六、</w:t>
      </w:r>
      <w:bookmarkEnd w:id="18"/>
      <w:r>
        <w:rPr>
          <w:rFonts w:hint="eastAsia" w:ascii="宋体" w:hAnsi="宋体" w:cs="宋体"/>
          <w:b/>
          <w:color w:val="000000"/>
          <w:sz w:val="24"/>
        </w:rPr>
        <w:t>招标文件获取时间、地点：</w:t>
      </w:r>
    </w:p>
    <w:bookmarkEnd w:id="17"/>
    <w:p>
      <w:pPr>
        <w:spacing w:line="420" w:lineRule="exact"/>
        <w:ind w:firstLine="480"/>
        <w:rPr>
          <w:rFonts w:hAnsi="宋体" w:cs="宋体"/>
          <w:sz w:val="24"/>
        </w:rPr>
      </w:pPr>
      <w:bookmarkStart w:id="19" w:name="_Toc8606"/>
      <w:bookmarkStart w:id="20" w:name="_Toc13991"/>
      <w:bookmarkStart w:id="21" w:name="_Toc213397009"/>
      <w:bookmarkStart w:id="22" w:name="_Toc448150554"/>
      <w:bookmarkStart w:id="23" w:name="_Toc24556238"/>
      <w:bookmarkStart w:id="24" w:name="_Toc421005875"/>
      <w:bookmarkStart w:id="25" w:name="_Toc217446031"/>
      <w:bookmarkStart w:id="26" w:name="_Toc213396945"/>
      <w:bookmarkStart w:id="27" w:name="_Toc213396759"/>
      <w:bookmarkStart w:id="28" w:name="_Toc213496267"/>
      <w:bookmarkStart w:id="29" w:name="_Toc183682339"/>
      <w:bookmarkStart w:id="30" w:name="_Toc89075871"/>
      <w:bookmarkStart w:id="31" w:name="_Toc183582202"/>
      <w:bookmarkStart w:id="32" w:name="_Toc77400776"/>
      <w:r>
        <w:rPr>
          <w:rFonts w:hint="eastAsia" w:hAnsi="宋体" w:cs="宋体"/>
          <w:sz w:val="24"/>
        </w:rPr>
        <w:t>招标文件自</w:t>
      </w:r>
      <w:r>
        <w:rPr>
          <w:rFonts w:hAnsi="宋体" w:cs="宋体"/>
          <w:color w:val="000000"/>
          <w:sz w:val="24"/>
        </w:rPr>
        <w:t>202</w:t>
      </w:r>
      <w:r>
        <w:rPr>
          <w:rFonts w:hint="eastAsia" w:hAnsi="宋体" w:cs="宋体"/>
          <w:color w:val="000000"/>
          <w:sz w:val="24"/>
        </w:rPr>
        <w:t>4年0</w:t>
      </w:r>
      <w:r>
        <w:rPr>
          <w:rFonts w:hint="eastAsia" w:hAnsi="宋体" w:cs="宋体"/>
          <w:color w:val="000000"/>
          <w:sz w:val="24"/>
          <w:lang w:val="en-US" w:eastAsia="zh-CN"/>
        </w:rPr>
        <w:t>4</w:t>
      </w:r>
      <w:r>
        <w:rPr>
          <w:rFonts w:hint="eastAsia" w:hAnsi="宋体" w:cs="宋体"/>
          <w:color w:val="000000"/>
          <w:sz w:val="24"/>
        </w:rPr>
        <w:t>月</w:t>
      </w:r>
      <w:r>
        <w:rPr>
          <w:rFonts w:hint="eastAsia" w:hAnsi="宋体" w:cs="宋体"/>
          <w:color w:val="auto"/>
          <w:sz w:val="24"/>
        </w:rPr>
        <w:t>1</w:t>
      </w:r>
      <w:r>
        <w:rPr>
          <w:rFonts w:hint="eastAsia" w:hAnsi="宋体" w:cs="宋体"/>
          <w:color w:val="auto"/>
          <w:sz w:val="24"/>
          <w:lang w:val="en-US" w:eastAsia="zh-CN"/>
        </w:rPr>
        <w:t>5</w:t>
      </w:r>
      <w:r>
        <w:rPr>
          <w:rFonts w:hint="eastAsia" w:hAnsi="宋体" w:cs="宋体"/>
          <w:color w:val="000000"/>
          <w:sz w:val="24"/>
        </w:rPr>
        <w:t>日至</w:t>
      </w:r>
      <w:r>
        <w:rPr>
          <w:rFonts w:hAnsi="宋体" w:cs="宋体"/>
          <w:color w:val="000000"/>
          <w:sz w:val="24"/>
        </w:rPr>
        <w:t>202</w:t>
      </w:r>
      <w:r>
        <w:rPr>
          <w:rFonts w:hint="eastAsia" w:hAnsi="宋体" w:cs="宋体"/>
          <w:color w:val="000000"/>
          <w:sz w:val="24"/>
        </w:rPr>
        <w:t>4年0</w:t>
      </w:r>
      <w:r>
        <w:rPr>
          <w:rFonts w:hint="eastAsia" w:hAnsi="宋体" w:cs="宋体"/>
          <w:color w:val="000000"/>
          <w:sz w:val="24"/>
          <w:lang w:val="en-US" w:eastAsia="zh-CN"/>
        </w:rPr>
        <w:t>4</w:t>
      </w:r>
      <w:r>
        <w:rPr>
          <w:rFonts w:hint="eastAsia" w:hAnsi="宋体" w:cs="宋体"/>
          <w:color w:val="000000"/>
          <w:sz w:val="24"/>
        </w:rPr>
        <w:t>月</w:t>
      </w:r>
      <w:r>
        <w:rPr>
          <w:rFonts w:hint="eastAsia" w:hAnsi="宋体" w:cs="宋体"/>
          <w:color w:val="auto"/>
          <w:sz w:val="24"/>
          <w:lang w:val="en-US" w:eastAsia="zh-CN"/>
        </w:rPr>
        <w:t>22</w:t>
      </w:r>
      <w:r>
        <w:rPr>
          <w:rFonts w:hint="eastAsia" w:hAnsi="宋体" w:cs="宋体"/>
          <w:color w:val="000000"/>
          <w:sz w:val="24"/>
        </w:rPr>
        <w:t>日</w:t>
      </w:r>
      <w:r>
        <w:rPr>
          <w:rFonts w:hint="eastAsia" w:hAnsi="宋体" w:cs="宋体"/>
          <w:sz w:val="24"/>
        </w:rPr>
        <w:t>（上午</w:t>
      </w:r>
      <w:r>
        <w:rPr>
          <w:rFonts w:hAnsi="宋体" w:cs="宋体"/>
          <w:sz w:val="24"/>
        </w:rPr>
        <w:t>09:00-12:00</w:t>
      </w:r>
      <w:r>
        <w:rPr>
          <w:rFonts w:hint="eastAsia" w:hAnsi="宋体" w:cs="宋体"/>
          <w:sz w:val="24"/>
        </w:rPr>
        <w:t>；下午</w:t>
      </w:r>
      <w:r>
        <w:rPr>
          <w:rFonts w:hAnsi="宋体" w:cs="宋体"/>
          <w:sz w:val="24"/>
        </w:rPr>
        <w:t>14:00- 17:</w:t>
      </w:r>
      <w:r>
        <w:rPr>
          <w:rFonts w:hint="eastAsia" w:hAnsi="宋体" w:cs="宋体"/>
          <w:sz w:val="24"/>
          <w:lang w:val="en-US" w:eastAsia="zh-CN"/>
        </w:rPr>
        <w:t>3</w:t>
      </w:r>
      <w:r>
        <w:rPr>
          <w:rFonts w:hAnsi="宋体" w:cs="宋体"/>
          <w:sz w:val="24"/>
        </w:rPr>
        <w:t>0</w:t>
      </w:r>
      <w:r>
        <w:rPr>
          <w:rFonts w:hint="eastAsia" w:hAnsi="宋体" w:cs="宋体"/>
          <w:sz w:val="24"/>
        </w:rPr>
        <w:t>，北京时间，法定节假日除外）在</w:t>
      </w:r>
      <w:r>
        <w:rPr>
          <w:rFonts w:hint="eastAsia" w:ascii="宋体" w:hAnsi="宋体"/>
          <w:spacing w:val="-2"/>
          <w:sz w:val="24"/>
          <w:u w:val="single"/>
        </w:rPr>
        <w:t>宜宾麒森建设工程管理有限公司（</w:t>
      </w:r>
      <w:r>
        <w:rPr>
          <w:rFonts w:hint="eastAsia" w:hAnsi="宋体" w:cs="宋体"/>
          <w:bCs/>
          <w:snapToGrid w:val="0"/>
          <w:sz w:val="24"/>
          <w:u w:val="single"/>
        </w:rPr>
        <w:t>宜宾市叙州区柏溪镇城中央鼎仁国际A5-2-8/9/10号</w:t>
      </w:r>
      <w:r>
        <w:rPr>
          <w:rFonts w:hint="eastAsia" w:ascii="宋体" w:hAnsi="宋体"/>
          <w:spacing w:val="-2"/>
          <w:sz w:val="24"/>
          <w:u w:val="single"/>
        </w:rPr>
        <w:t>）</w:t>
      </w:r>
      <w:r>
        <w:rPr>
          <w:rFonts w:hint="eastAsia" w:ascii="宋体" w:hAnsi="宋体"/>
          <w:color w:val="000000"/>
          <w:spacing w:val="-2"/>
          <w:sz w:val="24"/>
        </w:rPr>
        <w:t>现场</w:t>
      </w:r>
      <w:r>
        <w:rPr>
          <w:rFonts w:hint="eastAsia" w:ascii="宋体" w:hAnsi="宋体"/>
          <w:color w:val="000000"/>
          <w:spacing w:val="-2"/>
          <w:sz w:val="24"/>
          <w:lang w:val="en-US" w:eastAsia="zh-CN"/>
        </w:rPr>
        <w:t>或线上</w:t>
      </w:r>
      <w:r>
        <w:rPr>
          <w:rFonts w:hint="eastAsia" w:ascii="宋体" w:hAnsi="宋体"/>
          <w:color w:val="000000"/>
          <w:spacing w:val="-2"/>
          <w:sz w:val="24"/>
        </w:rPr>
        <w:t>报名</w:t>
      </w:r>
      <w:r>
        <w:rPr>
          <w:rFonts w:hint="eastAsia" w:hAnsi="宋体" w:cs="宋体"/>
          <w:color w:val="000000"/>
          <w:sz w:val="24"/>
        </w:rPr>
        <w:t>获取。</w:t>
      </w:r>
      <w:r>
        <w:rPr>
          <w:rFonts w:hint="eastAsia" w:hAnsi="宋体" w:cs="宋体"/>
          <w:sz w:val="24"/>
        </w:rPr>
        <w:t>文件售价：人民币400元</w:t>
      </w:r>
      <w:r>
        <w:rPr>
          <w:rFonts w:hAnsi="宋体" w:cs="宋体"/>
          <w:sz w:val="24"/>
        </w:rPr>
        <w:t>/</w:t>
      </w:r>
      <w:r>
        <w:rPr>
          <w:rFonts w:hint="eastAsia" w:hAnsi="宋体" w:cs="宋体"/>
          <w:sz w:val="24"/>
        </w:rPr>
        <w:t>份（</w:t>
      </w:r>
      <w:r>
        <w:rPr>
          <w:rFonts w:hint="eastAsia" w:hAnsi="宋体" w:cs="宋体"/>
          <w:sz w:val="24"/>
          <w:lang w:val="en-US" w:eastAsia="zh-CN"/>
        </w:rPr>
        <w:t>磋商</w:t>
      </w:r>
      <w:r>
        <w:rPr>
          <w:rFonts w:hint="eastAsia" w:hAnsi="宋体" w:cs="宋体"/>
          <w:sz w:val="24"/>
        </w:rPr>
        <w:t>文件售后不退</w:t>
      </w:r>
      <w:r>
        <w:rPr>
          <w:rFonts w:hAnsi="宋体" w:cs="宋体"/>
          <w:sz w:val="24"/>
        </w:rPr>
        <w:t xml:space="preserve">, </w:t>
      </w:r>
      <w:r>
        <w:rPr>
          <w:rFonts w:hint="eastAsia" w:hAnsi="宋体" w:cs="宋体"/>
          <w:sz w:val="24"/>
        </w:rPr>
        <w:t>投标资格不能转让）。</w:t>
      </w:r>
    </w:p>
    <w:p>
      <w:pPr>
        <w:spacing w:line="420" w:lineRule="exact"/>
        <w:ind w:firstLine="480" w:firstLineChars="200"/>
        <w:rPr>
          <w:rFonts w:hint="eastAsia" w:ascii="宋体" w:hAnsi="宋体" w:cs="宋体"/>
          <w:color w:val="000000"/>
          <w:sz w:val="24"/>
        </w:rPr>
      </w:pPr>
      <w:r>
        <w:rPr>
          <w:rFonts w:hint="eastAsia" w:ascii="宋体" w:hAnsi="宋体" w:cs="宋体"/>
          <w:color w:val="000000"/>
          <w:sz w:val="24"/>
        </w:rPr>
        <w:t>（1）现场报名：凡有意参加投标的供应商，</w:t>
      </w:r>
      <w:r>
        <w:rPr>
          <w:rFonts w:hint="eastAsia" w:ascii="宋体" w:hAnsi="宋体" w:cs="宋体"/>
          <w:color w:val="000000"/>
          <w:sz w:val="24"/>
          <w:lang w:val="en-US" w:eastAsia="zh-CN"/>
        </w:rPr>
        <w:t>持营业执照复印件（加盖鲜章）,报名登记表及</w:t>
      </w:r>
      <w:r>
        <w:rPr>
          <w:rFonts w:hint="eastAsia" w:ascii="宋体" w:hAnsi="宋体" w:cs="宋体"/>
          <w:color w:val="000000"/>
          <w:sz w:val="24"/>
        </w:rPr>
        <w:t>单位介绍信</w:t>
      </w:r>
      <w:r>
        <w:rPr>
          <w:rFonts w:hint="eastAsia" w:ascii="宋体" w:hAnsi="宋体" w:cs="宋体"/>
          <w:color w:val="000000"/>
          <w:sz w:val="24"/>
          <w:lang w:eastAsia="zh-CN"/>
        </w:rPr>
        <w:t>（</w:t>
      </w:r>
      <w:r>
        <w:rPr>
          <w:rFonts w:hint="eastAsia" w:ascii="宋体" w:hAnsi="宋体" w:cs="宋体"/>
          <w:color w:val="000000"/>
          <w:sz w:val="24"/>
        </w:rPr>
        <w:t>到</w:t>
      </w:r>
      <w:r>
        <w:rPr>
          <w:rFonts w:hint="eastAsia" w:ascii="宋体" w:hAnsi="宋体" w:cs="宋体"/>
          <w:color w:val="000000"/>
          <w:sz w:val="24"/>
          <w:lang w:eastAsia="zh-CN"/>
        </w:rPr>
        <w:t>宜宾市叙州区柏溪镇城中央鼎仁国际A5-2-8/9/10号</w:t>
      </w:r>
      <w:r>
        <w:rPr>
          <w:rFonts w:hint="eastAsia" w:ascii="宋体" w:hAnsi="宋体" w:cs="宋体"/>
          <w:color w:val="000000"/>
          <w:sz w:val="24"/>
        </w:rPr>
        <w:t>获取。</w:t>
      </w:r>
    </w:p>
    <w:p>
      <w:pPr>
        <w:spacing w:line="42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2</w:t>
      </w:r>
      <w:r>
        <w:rPr>
          <w:rFonts w:hint="eastAsia" w:ascii="宋体" w:hAnsi="宋体" w:cs="宋体"/>
          <w:color w:val="000000"/>
          <w:sz w:val="24"/>
          <w:lang w:eastAsia="zh-CN"/>
        </w:rPr>
        <w:t>）</w:t>
      </w:r>
      <w:r>
        <w:rPr>
          <w:rFonts w:hint="eastAsia" w:ascii="宋体" w:hAnsi="宋体" w:cs="宋体"/>
          <w:color w:val="000000"/>
          <w:sz w:val="24"/>
          <w:lang w:val="en-US" w:eastAsia="zh-CN"/>
        </w:rPr>
        <w:t>线上报名：</w:t>
      </w:r>
      <w:r>
        <w:rPr>
          <w:rFonts w:hint="eastAsia" w:ascii="宋体" w:hAnsi="宋体" w:cs="宋体"/>
          <w:color w:val="000000"/>
          <w:sz w:val="24"/>
        </w:rPr>
        <w:t>凡有意参加投标的供应商，</w:t>
      </w:r>
      <w:r>
        <w:rPr>
          <w:rFonts w:hint="eastAsia" w:ascii="宋体" w:hAnsi="宋体" w:cs="宋体"/>
          <w:color w:val="000000"/>
          <w:sz w:val="24"/>
          <w:lang w:val="en-US" w:eastAsia="zh-CN"/>
        </w:rPr>
        <w:t>将营业执照复印件（加盖鲜章）,报名登记表及</w:t>
      </w:r>
      <w:r>
        <w:rPr>
          <w:rFonts w:hint="eastAsia" w:ascii="宋体" w:hAnsi="宋体" w:cs="宋体"/>
          <w:color w:val="000000"/>
          <w:sz w:val="24"/>
        </w:rPr>
        <w:t>单位介绍信</w:t>
      </w:r>
      <w:r>
        <w:rPr>
          <w:rFonts w:hint="eastAsia" w:ascii="宋体" w:hAnsi="宋体" w:cs="宋体"/>
          <w:color w:val="000000"/>
          <w:sz w:val="24"/>
          <w:lang w:val="en-US" w:eastAsia="zh-CN"/>
        </w:rPr>
        <w:t>发送至邮箱：</w:t>
      </w:r>
      <w:r>
        <w:rPr>
          <w:rFonts w:hint="eastAsia" w:ascii="宋体" w:hAnsi="宋体" w:cs="宋体"/>
          <w:color w:val="000000"/>
          <w:sz w:val="24"/>
          <w:lang w:val="en-US" w:eastAsia="zh-CN"/>
        </w:rPr>
        <w:fldChar w:fldCharType="begin"/>
      </w:r>
      <w:r>
        <w:rPr>
          <w:rFonts w:hint="eastAsia" w:ascii="宋体" w:hAnsi="宋体" w:cs="宋体"/>
          <w:color w:val="000000"/>
          <w:sz w:val="24"/>
          <w:lang w:val="en-US" w:eastAsia="zh-CN"/>
        </w:rPr>
        <w:instrText xml:space="preserve"> HYPERLINK "mailto:734359227@qq.com" </w:instrText>
      </w:r>
      <w:r>
        <w:rPr>
          <w:rFonts w:hint="eastAsia" w:ascii="宋体" w:hAnsi="宋体" w:cs="宋体"/>
          <w:color w:val="000000"/>
          <w:sz w:val="24"/>
          <w:lang w:val="en-US" w:eastAsia="zh-CN"/>
        </w:rPr>
        <w:fldChar w:fldCharType="separate"/>
      </w:r>
      <w:r>
        <w:rPr>
          <w:rFonts w:hint="eastAsia" w:ascii="宋体" w:hAnsi="宋体" w:cs="宋体"/>
          <w:color w:val="000000"/>
          <w:sz w:val="24"/>
          <w:lang w:val="en-US" w:eastAsia="zh-CN"/>
        </w:rPr>
        <w:t>２７５００７２２１@qq.com</w:t>
      </w:r>
      <w:r>
        <w:rPr>
          <w:rFonts w:hint="eastAsia" w:ascii="宋体" w:hAnsi="宋体" w:cs="宋体"/>
          <w:color w:val="000000"/>
          <w:sz w:val="24"/>
          <w:lang w:val="en-US" w:eastAsia="zh-CN"/>
        </w:rPr>
        <w:fldChar w:fldCharType="end"/>
      </w:r>
      <w:r>
        <w:rPr>
          <w:rFonts w:hint="eastAsia" w:ascii="宋体" w:hAnsi="宋体" w:cs="宋体"/>
          <w:color w:val="000000"/>
          <w:sz w:val="24"/>
          <w:lang w:val="en-US" w:eastAsia="zh-CN"/>
        </w:rPr>
        <w:t>，代理机构核对资料完成后，将</w:t>
      </w:r>
      <w:r>
        <w:rPr>
          <w:rFonts w:hint="eastAsia" w:ascii="宋体" w:hAnsi="宋体" w:cs="宋体"/>
          <w:b w:val="0"/>
          <w:bCs/>
          <w:color w:val="auto"/>
          <w:sz w:val="24"/>
          <w:u w:val="none"/>
          <w:lang w:val="en-US" w:eastAsia="zh-CN"/>
        </w:rPr>
        <w:t>竞争性磋商</w:t>
      </w:r>
      <w:r>
        <w:rPr>
          <w:rFonts w:hint="eastAsia" w:ascii="宋体" w:hAnsi="宋体" w:cs="宋体"/>
          <w:color w:val="000000"/>
          <w:sz w:val="24"/>
          <w:lang w:val="en-US" w:eastAsia="zh-CN"/>
        </w:rPr>
        <w:t>文件回复至供应商报名邮箱（即报名成功）。</w:t>
      </w:r>
    </w:p>
    <w:p>
      <w:pPr>
        <w:spacing w:line="420" w:lineRule="exact"/>
        <w:ind w:firstLine="480" w:firstLineChars="200"/>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七、投标截止时间和开标时间：</w:t>
      </w:r>
      <w:r>
        <w:rPr>
          <w:rFonts w:hint="eastAsia" w:ascii="宋体" w:hAnsi="宋体" w:cs="宋体"/>
          <w:b/>
          <w:bCs/>
          <w:color w:val="000000"/>
          <w:sz w:val="24"/>
        </w:rPr>
        <w:t>2024年</w:t>
      </w:r>
      <w:r>
        <w:rPr>
          <w:rFonts w:hint="eastAsia" w:ascii="宋体" w:hAnsi="宋体" w:cs="宋体"/>
          <w:b/>
          <w:bCs/>
          <w:color w:val="000000"/>
          <w:sz w:val="24"/>
          <w:lang w:val="en-US" w:eastAsia="zh-CN"/>
        </w:rPr>
        <w:t xml:space="preserve"> 04</w:t>
      </w:r>
      <w:r>
        <w:rPr>
          <w:rFonts w:hint="eastAsia" w:ascii="宋体" w:hAnsi="宋体" w:cs="宋体"/>
          <w:b/>
          <w:bCs/>
          <w:color w:val="000000"/>
          <w:sz w:val="24"/>
        </w:rPr>
        <w:t>月</w:t>
      </w:r>
      <w:r>
        <w:rPr>
          <w:rFonts w:hint="eastAsia" w:ascii="宋体" w:hAnsi="宋体" w:cs="宋体"/>
          <w:b/>
          <w:bCs/>
          <w:color w:val="000000"/>
          <w:sz w:val="24"/>
          <w:lang w:val="en-US" w:eastAsia="zh-CN"/>
        </w:rPr>
        <w:t>26</w:t>
      </w:r>
      <w:r>
        <w:rPr>
          <w:rFonts w:hint="eastAsia" w:ascii="宋体" w:hAnsi="宋体" w:cs="宋体"/>
          <w:b/>
          <w:bCs/>
          <w:color w:val="000000"/>
          <w:sz w:val="24"/>
        </w:rPr>
        <w:t>日10:00（北京时间）。</w:t>
      </w:r>
    </w:p>
    <w:p>
      <w:pPr>
        <w:spacing w:line="420" w:lineRule="exact"/>
        <w:ind w:firstLine="480" w:firstLineChars="200"/>
        <w:rPr>
          <w:rFonts w:ascii="宋体" w:hAnsi="宋体" w:cs="宋体"/>
          <w:color w:val="000000"/>
          <w:sz w:val="24"/>
        </w:rPr>
      </w:pPr>
      <w:r>
        <w:rPr>
          <w:rFonts w:hint="eastAsia" w:ascii="宋体" w:hAnsi="宋体" w:cs="宋体"/>
          <w:color w:val="000000"/>
          <w:sz w:val="24"/>
        </w:rPr>
        <w:t>投标文件必须在投标截止时间前送达开标地点。逾期送达或密封及标注不符合招标文件规定的投标文件恕不接受。本次招标不接受邮寄的投标文件。</w:t>
      </w:r>
    </w:p>
    <w:p>
      <w:pPr>
        <w:spacing w:line="420" w:lineRule="exact"/>
        <w:ind w:firstLine="482" w:firstLineChars="200"/>
        <w:rPr>
          <w:rFonts w:ascii="宋体" w:hAnsi="宋体"/>
          <w:color w:val="000000"/>
          <w:sz w:val="24"/>
        </w:rPr>
      </w:pPr>
      <w:r>
        <w:rPr>
          <w:rFonts w:hint="eastAsia" w:ascii="宋体" w:hAnsi="宋体" w:cs="宋体"/>
          <w:b/>
          <w:color w:val="000000"/>
          <w:sz w:val="24"/>
        </w:rPr>
        <w:t>八、开标地点：</w:t>
      </w:r>
      <w:r>
        <w:rPr>
          <w:rFonts w:hint="eastAsia" w:ascii="宋体" w:hAnsi="宋体"/>
          <w:spacing w:val="-2"/>
          <w:sz w:val="24"/>
          <w:u w:val="single"/>
        </w:rPr>
        <w:t>宜宾麒森建设工程管理有限公司（</w:t>
      </w:r>
      <w:r>
        <w:rPr>
          <w:rFonts w:hint="eastAsia" w:hAnsi="宋体" w:cs="宋体"/>
          <w:bCs/>
          <w:snapToGrid w:val="0"/>
          <w:sz w:val="24"/>
          <w:u w:val="single"/>
        </w:rPr>
        <w:t>宜宾市叙州区柏溪镇城中央鼎仁国际A5-2-8/9/10号</w:t>
      </w:r>
      <w:r>
        <w:rPr>
          <w:rFonts w:hint="eastAsia" w:ascii="宋体" w:hAnsi="宋体"/>
          <w:spacing w:val="-2"/>
          <w:sz w:val="24"/>
          <w:u w:val="single"/>
        </w:rPr>
        <w:t>）本项目开标室</w:t>
      </w:r>
      <w:r>
        <w:rPr>
          <w:rFonts w:hint="eastAsia" w:ascii="宋体" w:hAnsi="宋体"/>
          <w:color w:val="000000"/>
          <w:sz w:val="24"/>
        </w:rPr>
        <w:t>。</w:t>
      </w:r>
    </w:p>
    <w:p>
      <w:pPr>
        <w:spacing w:line="420" w:lineRule="exact"/>
        <w:ind w:firstLine="482" w:firstLineChars="200"/>
        <w:rPr>
          <w:rFonts w:ascii="宋体" w:hAnsi="宋体" w:cs="宋体"/>
          <w:b/>
          <w:color w:val="000000"/>
          <w:sz w:val="24"/>
        </w:rPr>
      </w:pPr>
      <w:r>
        <w:rPr>
          <w:rFonts w:hint="eastAsia" w:ascii="宋体" w:hAnsi="宋体" w:cs="宋体"/>
          <w:b/>
          <w:color w:val="000000"/>
          <w:sz w:val="24"/>
        </w:rPr>
        <w:t>九、本次公开招标在</w:t>
      </w:r>
      <w:r>
        <w:rPr>
          <w:rFonts w:hint="eastAsia" w:ascii="宋体" w:hAnsi="宋体" w:cs="宋体"/>
          <w:b/>
          <w:color w:val="auto"/>
          <w:sz w:val="24"/>
          <w:lang w:val="en-US" w:eastAsia="zh-CN"/>
        </w:rPr>
        <w:t>中国政府采购网（www.ccgp.gov.cn）</w:t>
      </w:r>
      <w:r>
        <w:rPr>
          <w:rFonts w:hint="eastAsia" w:hAnsi="宋体" w:cs="宋体"/>
          <w:b/>
          <w:bCs/>
          <w:sz w:val="24"/>
        </w:rPr>
        <w:t>平台</w:t>
      </w:r>
      <w:r>
        <w:rPr>
          <w:rFonts w:hint="eastAsia" w:ascii="宋体" w:hAnsi="宋体" w:cs="宋体"/>
          <w:b/>
          <w:color w:val="000000"/>
          <w:sz w:val="24"/>
        </w:rPr>
        <w:t>上以公告形式发布。</w:t>
      </w:r>
    </w:p>
    <w:p>
      <w:pPr>
        <w:spacing w:line="360" w:lineRule="auto"/>
        <w:ind w:firstLine="482" w:firstLineChars="200"/>
        <w:rPr>
          <w:rFonts w:ascii="宋体" w:hAnsi="宋体" w:cs="宋体"/>
          <w:b/>
          <w:bCs/>
          <w:color w:val="000000"/>
          <w:sz w:val="24"/>
        </w:rPr>
      </w:pPr>
      <w:r>
        <w:rPr>
          <w:rFonts w:hint="eastAsia" w:ascii="宋体" w:hAnsi="宋体" w:cs="宋体"/>
          <w:b/>
          <w:color w:val="000000"/>
          <w:sz w:val="24"/>
        </w:rPr>
        <w:t>十、联系方式</w:t>
      </w:r>
    </w:p>
    <w:p>
      <w:pPr>
        <w:widowControl/>
        <w:spacing w:line="360" w:lineRule="auto"/>
        <w:ind w:firstLine="482" w:firstLineChars="200"/>
        <w:jc w:val="left"/>
        <w:rPr>
          <w:rFonts w:hint="eastAsia" w:ascii="宋体" w:hAnsi="宋体" w:eastAsia="宋体" w:cs="宋体"/>
          <w:color w:val="000000"/>
          <w:sz w:val="24"/>
          <w:lang w:eastAsia="zh-CN"/>
        </w:rPr>
      </w:pPr>
      <w:r>
        <w:rPr>
          <w:rFonts w:hint="eastAsia" w:ascii="宋体" w:hAnsi="宋体" w:cs="宋体"/>
          <w:b/>
          <w:bCs/>
          <w:color w:val="000000"/>
          <w:sz w:val="24"/>
        </w:rPr>
        <w:t>采 购 人：</w:t>
      </w:r>
      <w:r>
        <w:rPr>
          <w:rFonts w:hint="eastAsia" w:ascii="宋体" w:hAnsi="宋体" w:cs="宋体"/>
          <w:sz w:val="24"/>
          <w:lang w:eastAsia="zh-CN"/>
        </w:rPr>
        <w:t>高县人民医院</w:t>
      </w:r>
    </w:p>
    <w:p>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lang w:val="en-US" w:eastAsia="zh-CN"/>
        </w:rPr>
        <w:t>四川省宜宾市高县庆符镇硕勋中路223号</w:t>
      </w:r>
      <w:r>
        <w:rPr>
          <w:rFonts w:hint="eastAsia" w:ascii="宋体" w:hAnsi="宋体" w:cs="宋体"/>
          <w:color w:val="000000"/>
          <w:sz w:val="24"/>
        </w:rPr>
        <w:t xml:space="preserve"> </w:t>
      </w:r>
    </w:p>
    <w:p>
      <w:pPr>
        <w:widowControl/>
        <w:spacing w:line="360" w:lineRule="auto"/>
        <w:ind w:firstLine="480" w:firstLineChars="200"/>
        <w:jc w:val="left"/>
        <w:rPr>
          <w:rFonts w:hint="eastAsia" w:ascii="宋体" w:hAnsi="宋体" w:eastAsia="宋体" w:cs="宋体"/>
          <w:color w:val="000000"/>
          <w:sz w:val="24"/>
          <w:lang w:val="en-US" w:eastAsia="zh-CN"/>
        </w:rPr>
      </w:pPr>
      <w:r>
        <w:rPr>
          <w:rFonts w:hint="eastAsia" w:ascii="宋体" w:hAnsi="宋体" w:cs="宋体"/>
          <w:color w:val="000000"/>
          <w:sz w:val="24"/>
        </w:rPr>
        <w:t>联 系 人：</w:t>
      </w:r>
      <w:r>
        <w:rPr>
          <w:rFonts w:hint="eastAsia" w:ascii="宋体" w:hAnsi="宋体" w:cs="宋体"/>
          <w:color w:val="000000"/>
          <w:sz w:val="24"/>
          <w:lang w:val="en-US" w:eastAsia="zh-CN"/>
        </w:rPr>
        <w:t>王女士</w:t>
      </w:r>
    </w:p>
    <w:p>
      <w:pPr>
        <w:widowControl/>
        <w:spacing w:line="360" w:lineRule="auto"/>
        <w:ind w:firstLine="480" w:firstLineChars="200"/>
        <w:jc w:val="left"/>
        <w:rPr>
          <w:rFonts w:hint="default" w:ascii="宋体" w:hAnsi="宋体" w:eastAsia="宋体" w:cs="宋体"/>
          <w:color w:val="000000"/>
          <w:sz w:val="24"/>
          <w:lang w:val="en-US" w:eastAsia="zh-CN"/>
        </w:rPr>
      </w:pPr>
      <w:r>
        <w:rPr>
          <w:rFonts w:hint="eastAsia" w:ascii="宋体" w:hAnsi="宋体" w:cs="宋体"/>
          <w:color w:val="000000"/>
          <w:sz w:val="24"/>
        </w:rPr>
        <w:t>联系电话：</w:t>
      </w:r>
      <w:r>
        <w:rPr>
          <w:rFonts w:hint="eastAsia" w:ascii="宋体" w:hAnsi="宋体" w:cs="宋体"/>
          <w:color w:val="000000"/>
          <w:sz w:val="24"/>
          <w:lang w:val="en-US" w:eastAsia="zh-CN"/>
        </w:rPr>
        <w:t>0831-5393102</w:t>
      </w:r>
    </w:p>
    <w:p>
      <w:pPr>
        <w:pStyle w:val="17"/>
      </w:pPr>
    </w:p>
    <w:p>
      <w:pPr>
        <w:widowControl/>
        <w:spacing w:line="360" w:lineRule="auto"/>
        <w:ind w:firstLine="482" w:firstLineChars="200"/>
        <w:jc w:val="left"/>
        <w:rPr>
          <w:rFonts w:ascii="宋体" w:hAnsi="宋体" w:cs="宋体"/>
          <w:color w:val="000000"/>
          <w:sz w:val="24"/>
        </w:rPr>
      </w:pPr>
      <w:r>
        <w:rPr>
          <w:rFonts w:hint="eastAsia" w:ascii="宋体" w:hAnsi="宋体" w:cs="宋体"/>
          <w:b/>
          <w:bCs/>
          <w:color w:val="000000"/>
          <w:sz w:val="24"/>
        </w:rPr>
        <w:t>采购代理机构：</w:t>
      </w:r>
      <w:r>
        <w:rPr>
          <w:rFonts w:hint="eastAsia"/>
          <w:spacing w:val="-2"/>
          <w:sz w:val="24"/>
        </w:rPr>
        <w:t>宜宾麒森建设工程管理有限公司</w:t>
      </w:r>
    </w:p>
    <w:p>
      <w:pPr>
        <w:widowControl/>
        <w:spacing w:line="360" w:lineRule="auto"/>
        <w:ind w:firstLine="480" w:firstLineChars="200"/>
        <w:jc w:val="left"/>
        <w:rPr>
          <w:rFonts w:hAnsi="宋体" w:cs="宋体"/>
          <w:bCs/>
          <w:snapToGrid w:val="0"/>
          <w:sz w:val="24"/>
          <w:highlight w:val="yellow"/>
          <w:u w:val="single"/>
        </w:rPr>
      </w:pPr>
      <w:r>
        <w:rPr>
          <w:rFonts w:hint="eastAsia" w:ascii="宋体" w:hAnsi="宋体" w:cs="宋体"/>
          <w:color w:val="000000"/>
          <w:sz w:val="24"/>
        </w:rPr>
        <w:t>地    址：</w:t>
      </w:r>
      <w:r>
        <w:rPr>
          <w:rFonts w:hint="eastAsia" w:hAnsi="宋体" w:cs="宋体"/>
          <w:bCs/>
          <w:snapToGrid w:val="0"/>
          <w:sz w:val="24"/>
        </w:rPr>
        <w:t>宜宾市叙州区柏溪镇城中央鼎仁国际A5-2-8/9/10号</w:t>
      </w:r>
    </w:p>
    <w:p>
      <w:pPr>
        <w:widowControl/>
        <w:spacing w:line="360" w:lineRule="auto"/>
        <w:ind w:firstLine="480" w:firstLineChars="200"/>
        <w:jc w:val="left"/>
        <w:rPr>
          <w:rFonts w:hint="eastAsia" w:ascii="宋体" w:hAnsi="宋体" w:eastAsia="宋体" w:cs="宋体"/>
          <w:color w:val="000000"/>
          <w:sz w:val="24"/>
          <w:lang w:eastAsia="zh-CN"/>
        </w:rPr>
      </w:pPr>
      <w:r>
        <w:rPr>
          <w:rFonts w:hint="eastAsia" w:ascii="宋体" w:hAnsi="宋体" w:cs="宋体"/>
          <w:color w:val="000000"/>
          <w:sz w:val="24"/>
        </w:rPr>
        <w:t>联 系 人：</w:t>
      </w:r>
      <w:r>
        <w:rPr>
          <w:rFonts w:hint="eastAsia" w:ascii="宋体" w:hAnsi="宋体" w:cs="宋体"/>
          <w:color w:val="000000"/>
          <w:sz w:val="24"/>
          <w:lang w:eastAsia="zh-CN"/>
        </w:rPr>
        <w:t>高女士</w:t>
      </w:r>
    </w:p>
    <w:p>
      <w:pPr>
        <w:widowControl/>
        <w:spacing w:line="360" w:lineRule="auto"/>
        <w:ind w:firstLine="480" w:firstLineChars="200"/>
        <w:jc w:val="left"/>
        <w:rPr>
          <w:rFonts w:hint="default" w:ascii="宋体" w:eastAsia="宋体" w:cs="宋体"/>
          <w:color w:val="000000"/>
          <w:sz w:val="24"/>
          <w:lang w:val="en-US" w:eastAsia="zh-CN"/>
        </w:rPr>
      </w:pPr>
      <w:r>
        <w:rPr>
          <w:rFonts w:hint="eastAsia" w:ascii="宋体" w:hAnsi="宋体" w:cs="宋体"/>
          <w:color w:val="000000"/>
          <w:sz w:val="24"/>
        </w:rPr>
        <w:t>联系电话：</w:t>
      </w:r>
      <w:r>
        <w:rPr>
          <w:rFonts w:hint="eastAsia" w:ascii="宋体" w:hAnsi="宋体" w:cs="宋体"/>
          <w:color w:val="000000"/>
          <w:sz w:val="24"/>
          <w:lang w:val="en-US" w:eastAsia="zh-CN"/>
        </w:rPr>
        <w:t>15928832063</w:t>
      </w:r>
    </w:p>
    <w:bookmarkEnd w:id="19"/>
    <w:bookmarkEnd w:id="20"/>
    <w:bookmarkEnd w:id="21"/>
    <w:bookmarkEnd w:id="22"/>
    <w:bookmarkEnd w:id="23"/>
    <w:bookmarkEnd w:id="24"/>
    <w:bookmarkEnd w:id="25"/>
    <w:bookmarkEnd w:id="26"/>
    <w:bookmarkEnd w:id="27"/>
    <w:bookmarkEnd w:id="28"/>
    <w:p>
      <w:pPr>
        <w:pStyle w:val="3"/>
        <w:spacing w:after="20"/>
        <w:jc w:val="center"/>
        <w:rPr>
          <w:rFonts w:ascii="Times New Roman" w:hAnsi="Times New Roman"/>
          <w:color w:val="000000"/>
          <w:sz w:val="44"/>
          <w:szCs w:val="44"/>
        </w:rPr>
      </w:pPr>
      <w:r>
        <w:rPr>
          <w:color w:val="000000"/>
        </w:rPr>
        <w:br w:type="page"/>
      </w:r>
      <w:bookmarkEnd w:id="29"/>
      <w:bookmarkEnd w:id="30"/>
      <w:bookmarkEnd w:id="31"/>
      <w:bookmarkEnd w:id="32"/>
      <w:bookmarkStart w:id="33" w:name="_Toc421005877"/>
      <w:bookmarkStart w:id="34" w:name="_Toc183682341"/>
      <w:bookmarkStart w:id="35" w:name="_Toc20549"/>
      <w:bookmarkStart w:id="36" w:name="_Toc77400778"/>
      <w:bookmarkStart w:id="37" w:name="_Toc217446033"/>
      <w:bookmarkStart w:id="38" w:name="_Toc183582204"/>
      <w:bookmarkStart w:id="39" w:name="_Toc89075873"/>
      <w:bookmarkStart w:id="40" w:name="_Toc796"/>
      <w:r>
        <w:rPr>
          <w:rFonts w:hint="eastAsia" w:ascii="Times New Roman" w:hAnsi="Times New Roman"/>
          <w:color w:val="000000"/>
          <w:sz w:val="44"/>
          <w:szCs w:val="44"/>
        </w:rPr>
        <w:t>第二章 投标人须知</w:t>
      </w:r>
    </w:p>
    <w:p>
      <w:pPr>
        <w:tabs>
          <w:tab w:val="left" w:pos="851"/>
        </w:tabs>
        <w:spacing w:line="560" w:lineRule="exact"/>
        <w:jc w:val="center"/>
        <w:rPr>
          <w:rFonts w:ascii="宋体" w:hAnsi="宋体" w:cs="宋体"/>
          <w:b/>
          <w:sz w:val="32"/>
          <w:szCs w:val="32"/>
        </w:rPr>
      </w:pPr>
      <w:bookmarkStart w:id="41" w:name="_Toc1882_WPSOffice_Level2"/>
      <w:bookmarkStart w:id="42" w:name="_Toc12708_WPSOffice_Level2"/>
      <w:bookmarkStart w:id="43" w:name="_Toc11515_WPSOffice_Level2"/>
      <w:bookmarkStart w:id="44" w:name="_Toc12813_WPSOffice_Level2"/>
      <w:r>
        <w:rPr>
          <w:rFonts w:hint="eastAsia" w:ascii="宋体" w:hAnsi="宋体" w:cs="宋体"/>
          <w:b/>
          <w:sz w:val="32"/>
          <w:szCs w:val="32"/>
        </w:rPr>
        <w:t>一、供应商须知附表</w:t>
      </w:r>
      <w:bookmarkEnd w:id="41"/>
      <w:bookmarkEnd w:id="42"/>
      <w:bookmarkEnd w:id="43"/>
      <w:bookmarkEnd w:id="44"/>
    </w:p>
    <w:p>
      <w:pPr>
        <w:pStyle w:val="4"/>
      </w:pPr>
    </w:p>
    <w:tbl>
      <w:tblPr>
        <w:tblStyle w:val="47"/>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0"/>
        <w:gridCol w:w="2652"/>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770" w:type="dxa"/>
            <w:vAlign w:val="center"/>
          </w:tcPr>
          <w:p>
            <w:pPr>
              <w:spacing w:line="312" w:lineRule="auto"/>
              <w:jc w:val="center"/>
              <w:rPr>
                <w:rFonts w:ascii="宋体" w:hAnsi="宋体" w:cs="宋体"/>
                <w:sz w:val="24"/>
                <w:lang w:val="zh-CN"/>
              </w:rPr>
            </w:pPr>
            <w:r>
              <w:rPr>
                <w:rFonts w:hint="eastAsia" w:ascii="宋体" w:hAnsi="宋体" w:cs="宋体"/>
                <w:sz w:val="24"/>
                <w:lang w:val="zh-CN"/>
              </w:rPr>
              <w:t>序号</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lang w:val="zh-CN"/>
              </w:rPr>
              <w:t>应知事项</w:t>
            </w:r>
          </w:p>
        </w:tc>
        <w:tc>
          <w:tcPr>
            <w:tcW w:w="6084" w:type="dxa"/>
            <w:vAlign w:val="center"/>
          </w:tcPr>
          <w:p>
            <w:pPr>
              <w:spacing w:line="312" w:lineRule="auto"/>
              <w:jc w:val="center"/>
              <w:rPr>
                <w:rFonts w:ascii="宋体" w:hAnsi="宋体" w:cs="宋体"/>
                <w:sz w:val="24"/>
                <w:lang w:val="zh-CN"/>
              </w:rPr>
            </w:pPr>
            <w:r>
              <w:rPr>
                <w:rFonts w:hint="eastAsia" w:ascii="宋体" w:hAnsi="宋体" w:cs="宋体"/>
                <w:sz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1</w:t>
            </w:r>
          </w:p>
        </w:tc>
        <w:tc>
          <w:tcPr>
            <w:tcW w:w="2652" w:type="dxa"/>
            <w:vAlign w:val="center"/>
          </w:tcPr>
          <w:p>
            <w:pPr>
              <w:pStyle w:val="118"/>
              <w:spacing w:line="312" w:lineRule="auto"/>
              <w:jc w:val="center"/>
              <w:rPr>
                <w:lang w:val="zh-CN"/>
              </w:rPr>
            </w:pPr>
            <w:r>
              <w:rPr>
                <w:rFonts w:hint="eastAsia"/>
                <w:szCs w:val="20"/>
              </w:rPr>
              <w:t>采购人</w:t>
            </w:r>
          </w:p>
        </w:tc>
        <w:tc>
          <w:tcPr>
            <w:tcW w:w="6084" w:type="dxa"/>
            <w:vAlign w:val="center"/>
          </w:tcPr>
          <w:p>
            <w:pPr>
              <w:pStyle w:val="118"/>
              <w:spacing w:line="312" w:lineRule="auto"/>
              <w:jc w:val="both"/>
              <w:rPr>
                <w:rFonts w:hint="eastAsia" w:eastAsia="宋体" w:cs="宋体"/>
                <w:lang w:val="en-US" w:eastAsia="zh-CN"/>
              </w:rPr>
            </w:pPr>
            <w:r>
              <w:rPr>
                <w:rFonts w:hint="eastAsia"/>
                <w:lang w:val="zh-CN"/>
              </w:rPr>
              <w:t>名称：</w:t>
            </w:r>
            <w:r>
              <w:rPr>
                <w:rFonts w:hint="eastAsia" w:cs="宋体"/>
                <w:lang w:eastAsia="zh-CN"/>
              </w:rPr>
              <w:t>高县人民医院</w:t>
            </w:r>
            <w:r>
              <w:rPr>
                <w:rFonts w:hint="eastAsia" w:cs="宋体"/>
                <w:lang w:val="en-US" w:eastAsia="zh-CN"/>
              </w:rPr>
              <w:t xml:space="preserve">   </w:t>
            </w:r>
            <w:r>
              <w:rPr>
                <w:rFonts w:hint="eastAsia" w:cs="宋体"/>
                <w:lang w:val="zh-CN"/>
              </w:rPr>
              <w:t>联系人：</w:t>
            </w:r>
            <w:r>
              <w:rPr>
                <w:rFonts w:hint="eastAsia" w:cs="宋体"/>
                <w:lang w:val="en-US" w:eastAsia="zh-CN"/>
              </w:rPr>
              <w:t>王女士</w:t>
            </w:r>
          </w:p>
          <w:p>
            <w:pPr>
              <w:pStyle w:val="118"/>
              <w:spacing w:line="312" w:lineRule="auto"/>
              <w:jc w:val="both"/>
              <w:rPr>
                <w:rFonts w:cs="宋体"/>
                <w:lang w:val="zh-CN"/>
              </w:rPr>
            </w:pPr>
            <w:r>
              <w:rPr>
                <w:rFonts w:hint="eastAsia" w:cs="宋体"/>
                <w:lang w:val="zh-CN"/>
              </w:rPr>
              <w:t>联系方式：</w:t>
            </w:r>
            <w:r>
              <w:rPr>
                <w:rFonts w:hint="eastAsia" w:ascii="宋体" w:hAnsi="宋体" w:cs="宋体"/>
                <w:color w:val="000000"/>
                <w:sz w:val="24"/>
                <w:lang w:val="en-US" w:eastAsia="zh-CN"/>
              </w:rPr>
              <w:t>0831-5393102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2</w:t>
            </w:r>
          </w:p>
        </w:tc>
        <w:tc>
          <w:tcPr>
            <w:tcW w:w="2652" w:type="dxa"/>
            <w:vAlign w:val="center"/>
          </w:tcPr>
          <w:p>
            <w:pPr>
              <w:pStyle w:val="118"/>
              <w:spacing w:line="312" w:lineRule="auto"/>
              <w:jc w:val="center"/>
              <w:rPr>
                <w:lang w:val="zh-CN"/>
              </w:rPr>
            </w:pPr>
            <w:r>
              <w:rPr>
                <w:rFonts w:hint="eastAsia"/>
                <w:szCs w:val="20"/>
              </w:rPr>
              <w:t>采购代理机构</w:t>
            </w:r>
          </w:p>
        </w:tc>
        <w:tc>
          <w:tcPr>
            <w:tcW w:w="6084" w:type="dxa"/>
            <w:vAlign w:val="center"/>
          </w:tcPr>
          <w:p>
            <w:pPr>
              <w:pStyle w:val="118"/>
              <w:spacing w:line="312" w:lineRule="auto"/>
              <w:jc w:val="both"/>
              <w:rPr>
                <w:lang w:val="zh-CN"/>
              </w:rPr>
            </w:pPr>
            <w:r>
              <w:rPr>
                <w:rFonts w:hint="eastAsia"/>
                <w:lang w:val="zh-CN"/>
              </w:rPr>
              <w:t>名称：宜宾麒森建设工程管理有限公司</w:t>
            </w:r>
          </w:p>
          <w:p>
            <w:pPr>
              <w:pStyle w:val="118"/>
              <w:spacing w:line="312" w:lineRule="auto"/>
              <w:jc w:val="both"/>
              <w:rPr>
                <w:lang w:val="zh-CN"/>
              </w:rPr>
            </w:pPr>
            <w:r>
              <w:rPr>
                <w:rFonts w:hint="eastAsia"/>
                <w:lang w:val="zh-CN"/>
              </w:rPr>
              <w:t>地址：四川省宜宾市叙州区柏溪镇城中央鼎仁国际A5-2-8/9/10号</w:t>
            </w:r>
          </w:p>
          <w:p>
            <w:pPr>
              <w:pStyle w:val="118"/>
              <w:spacing w:line="312" w:lineRule="auto"/>
              <w:jc w:val="both"/>
              <w:rPr>
                <w:rFonts w:hint="eastAsia" w:eastAsia="宋体" w:cs="宋体"/>
                <w:lang w:val="zh-CN" w:eastAsia="zh-CN"/>
              </w:rPr>
            </w:pPr>
            <w:r>
              <w:rPr>
                <w:rFonts w:hint="eastAsia"/>
                <w:lang w:val="zh-CN"/>
              </w:rPr>
              <w:t>联系人：</w:t>
            </w:r>
            <w:r>
              <w:rPr>
                <w:rFonts w:hint="eastAsia" w:cs="宋体"/>
                <w:lang w:eastAsia="zh-CN"/>
              </w:rPr>
              <w:t>高女士</w:t>
            </w:r>
          </w:p>
          <w:p>
            <w:pPr>
              <w:spacing w:line="312" w:lineRule="auto"/>
              <w:rPr>
                <w:rFonts w:hint="default" w:ascii="宋体" w:hAnsi="宋体" w:eastAsia="宋体" w:cs="宋体"/>
                <w:sz w:val="24"/>
                <w:lang w:val="en-US" w:eastAsia="zh-CN"/>
              </w:rPr>
            </w:pPr>
            <w:r>
              <w:rPr>
                <w:rFonts w:hint="eastAsia" w:ascii="宋体" w:hAnsi="宋体" w:cs="宋体"/>
                <w:kern w:val="0"/>
                <w:sz w:val="24"/>
                <w:lang w:val="zh-CN"/>
              </w:rPr>
              <w:t>电话：0831-</w:t>
            </w:r>
            <w:r>
              <w:rPr>
                <w:rFonts w:hint="eastAsia" w:ascii="宋体" w:hAnsi="宋体" w:cs="宋体"/>
                <w:kern w:val="0"/>
                <w:sz w:val="24"/>
              </w:rPr>
              <w:t>8751881；</w:t>
            </w:r>
            <w:r>
              <w:rPr>
                <w:rFonts w:hint="eastAsia" w:ascii="宋体" w:hAnsi="宋体" w:cs="宋体"/>
                <w:kern w:val="0"/>
                <w:sz w:val="24"/>
                <w:lang w:val="en-US" w:eastAsia="zh-CN"/>
              </w:rPr>
              <w:t>15928832063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3</w:t>
            </w:r>
          </w:p>
        </w:tc>
        <w:tc>
          <w:tcPr>
            <w:tcW w:w="2652" w:type="dxa"/>
            <w:vAlign w:val="center"/>
          </w:tcPr>
          <w:p>
            <w:pPr>
              <w:pStyle w:val="118"/>
              <w:spacing w:line="312" w:lineRule="auto"/>
              <w:jc w:val="center"/>
              <w:rPr>
                <w:lang w:val="zh-CN"/>
              </w:rPr>
            </w:pPr>
            <w:r>
              <w:rPr>
                <w:rFonts w:hint="eastAsia"/>
                <w:lang w:val="zh-CN"/>
              </w:rPr>
              <w:t>项目名称及编号</w:t>
            </w:r>
          </w:p>
        </w:tc>
        <w:tc>
          <w:tcPr>
            <w:tcW w:w="6084" w:type="dxa"/>
            <w:vAlign w:val="center"/>
          </w:tcPr>
          <w:p>
            <w:pPr>
              <w:pStyle w:val="118"/>
              <w:spacing w:line="312" w:lineRule="auto"/>
              <w:jc w:val="both"/>
              <w:rPr>
                <w:rFonts w:hint="eastAsia" w:eastAsia="宋体"/>
                <w:lang w:val="zh-CN" w:eastAsia="zh-CN"/>
              </w:rPr>
            </w:pPr>
            <w:r>
              <w:rPr>
                <w:rFonts w:hint="eastAsia"/>
                <w:lang w:val="zh-CN"/>
              </w:rPr>
              <w:t>项目名称：</w:t>
            </w:r>
            <w:r>
              <w:rPr>
                <w:rFonts w:hint="eastAsia" w:cs="宋体"/>
                <w:lang w:eastAsia="zh-CN"/>
              </w:rPr>
              <w:t>高县人民医院全院污水处理站运维服务项目</w:t>
            </w:r>
          </w:p>
          <w:p>
            <w:pPr>
              <w:spacing w:line="312" w:lineRule="auto"/>
              <w:rPr>
                <w:rFonts w:hint="default" w:ascii="宋体" w:hAnsi="宋体" w:eastAsia="宋体" w:cs="宋体"/>
                <w:sz w:val="24"/>
                <w:lang w:val="en-US" w:eastAsia="zh-CN"/>
              </w:rPr>
            </w:pPr>
            <w:r>
              <w:rPr>
                <w:rFonts w:hint="eastAsia" w:ascii="宋体" w:hAnsi="宋体" w:cs="宋体"/>
                <w:kern w:val="0"/>
                <w:sz w:val="24"/>
                <w:lang w:val="zh-CN"/>
              </w:rPr>
              <w:t>项目编号：YBQS-202</w:t>
            </w:r>
            <w:r>
              <w:rPr>
                <w:rFonts w:hint="eastAsia" w:ascii="宋体" w:hAnsi="宋体" w:cs="宋体"/>
                <w:kern w:val="0"/>
                <w:sz w:val="24"/>
              </w:rPr>
              <w:t>4</w:t>
            </w:r>
            <w:r>
              <w:rPr>
                <w:rFonts w:hint="eastAsia" w:ascii="宋体" w:hAnsi="宋体" w:cs="宋体"/>
                <w:kern w:val="0"/>
                <w:sz w:val="24"/>
                <w:lang w:val="zh-CN"/>
              </w:rPr>
              <w:t>-</w:t>
            </w:r>
            <w:r>
              <w:rPr>
                <w:rFonts w:hint="eastAsia" w:ascii="宋体" w:hAnsi="宋体" w:cs="宋体"/>
                <w:kern w:val="0"/>
                <w:sz w:val="24"/>
                <w:lang w:val="en-US" w:eastAsia="zh-CN"/>
              </w:rPr>
              <w:t>0409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4</w:t>
            </w:r>
          </w:p>
        </w:tc>
        <w:tc>
          <w:tcPr>
            <w:tcW w:w="2652" w:type="dxa"/>
            <w:vAlign w:val="center"/>
          </w:tcPr>
          <w:p>
            <w:pPr>
              <w:pStyle w:val="118"/>
              <w:spacing w:line="312" w:lineRule="auto"/>
              <w:jc w:val="center"/>
              <w:rPr>
                <w:lang w:val="zh-CN"/>
              </w:rPr>
            </w:pPr>
            <w:r>
              <w:rPr>
                <w:rFonts w:hint="eastAsia"/>
                <w:lang w:val="zh-CN"/>
              </w:rPr>
              <w:t>采购方式</w:t>
            </w:r>
          </w:p>
        </w:tc>
        <w:tc>
          <w:tcPr>
            <w:tcW w:w="6084" w:type="dxa"/>
            <w:vAlign w:val="center"/>
          </w:tcPr>
          <w:p>
            <w:pPr>
              <w:spacing w:line="312" w:lineRule="auto"/>
              <w:rPr>
                <w:rFonts w:ascii="宋体" w:hAnsi="宋体" w:cs="宋体"/>
                <w:sz w:val="24"/>
              </w:rPr>
            </w:pPr>
            <w:r>
              <w:rPr>
                <w:rFonts w:hint="eastAsia" w:ascii="宋体" w:hAnsi="宋体" w:cs="宋体"/>
                <w:bCs/>
                <w:color w:val="auto"/>
                <w:sz w:val="24"/>
                <w:lang w:val="en-US" w:eastAsia="zh-CN"/>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lang w:val="zh-CN"/>
              </w:rPr>
            </w:pPr>
            <w:r>
              <w:rPr>
                <w:rFonts w:hint="eastAsia" w:ascii="宋体" w:hAnsi="宋体" w:cs="宋体"/>
                <w:sz w:val="24"/>
              </w:rPr>
              <w:t>5</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lang w:val="zh-CN"/>
              </w:rPr>
              <w:t>确定邀请的供应商数量和方式</w:t>
            </w:r>
          </w:p>
        </w:tc>
        <w:tc>
          <w:tcPr>
            <w:tcW w:w="6084" w:type="dxa"/>
            <w:vAlign w:val="center"/>
          </w:tcPr>
          <w:p>
            <w:pPr>
              <w:spacing w:line="312" w:lineRule="auto"/>
              <w:rPr>
                <w:rFonts w:ascii="宋体" w:hAnsi="宋体" w:cs="宋体"/>
                <w:sz w:val="24"/>
                <w:lang w:val="zh-CN"/>
              </w:rPr>
            </w:pPr>
            <w:r>
              <w:rPr>
                <w:rFonts w:hint="eastAsia" w:ascii="宋体" w:hAnsi="宋体" w:cs="宋体"/>
                <w:sz w:val="24"/>
                <w:lang w:val="zh-CN"/>
              </w:rPr>
              <w:t>本次</w:t>
            </w:r>
            <w:r>
              <w:rPr>
                <w:rFonts w:hint="eastAsia" w:ascii="宋体" w:hAnsi="宋体" w:cs="宋体"/>
                <w:bCs/>
                <w:color w:val="auto"/>
                <w:sz w:val="24"/>
                <w:lang w:val="en-US" w:eastAsia="zh-CN"/>
              </w:rPr>
              <w:t>竞争性磋商</w:t>
            </w:r>
            <w:r>
              <w:rPr>
                <w:rFonts w:hint="eastAsia" w:ascii="宋体" w:hAnsi="宋体" w:cs="宋体"/>
                <w:sz w:val="24"/>
                <w:lang w:val="zh-CN"/>
              </w:rPr>
              <w:t>邀请的供应商数量</w:t>
            </w:r>
            <w:r>
              <w:rPr>
                <w:rFonts w:hint="eastAsia" w:ascii="宋体" w:hAnsi="宋体" w:cs="宋体"/>
                <w:sz w:val="24"/>
              </w:rPr>
              <w:t>每包</w:t>
            </w:r>
            <w:r>
              <w:rPr>
                <w:rFonts w:hint="eastAsia" w:ascii="宋体" w:hAnsi="宋体" w:cs="宋体"/>
                <w:sz w:val="24"/>
                <w:lang w:val="zh-CN"/>
              </w:rPr>
              <w:t>不少于3家，本次采购采取在中</w:t>
            </w:r>
            <w:r>
              <w:rPr>
                <w:rFonts w:hint="eastAsia" w:ascii="宋体" w:hAnsi="宋体" w:cs="宋体"/>
                <w:color w:val="auto"/>
                <w:sz w:val="24"/>
                <w:lang w:val="zh-CN"/>
              </w:rPr>
              <w:t>国政府采购网</w:t>
            </w:r>
            <w:r>
              <w:rPr>
                <w:rFonts w:hint="eastAsia" w:ascii="宋体" w:hAnsi="宋体" w:cs="宋体"/>
                <w:color w:val="auto"/>
                <w:sz w:val="24"/>
                <w:lang w:val="en-US" w:eastAsia="zh-CN"/>
              </w:rPr>
              <w:t>(</w:t>
            </w:r>
            <w:r>
              <w:rPr>
                <w:rFonts w:hint="eastAsia" w:ascii="宋体" w:hAnsi="宋体" w:cs="宋体"/>
                <w:b/>
                <w:color w:val="auto"/>
                <w:sz w:val="24"/>
                <w:lang w:val="en-US" w:eastAsia="zh-CN"/>
              </w:rPr>
              <w:t>www.ccgp.gov.cn)</w:t>
            </w:r>
            <w:r>
              <w:rPr>
                <w:rFonts w:hint="eastAsia" w:ascii="宋体" w:hAnsi="宋体" w:cs="宋体"/>
                <w:sz w:val="24"/>
                <w:lang w:val="zh-CN"/>
              </w:rPr>
              <w:t>发布公告的方式邀请参加</w:t>
            </w:r>
            <w:r>
              <w:rPr>
                <w:rFonts w:hint="eastAsia" w:ascii="宋体" w:hAnsi="宋体" w:cs="宋体"/>
                <w:sz w:val="24"/>
              </w:rPr>
              <w:t>招标</w:t>
            </w:r>
            <w:r>
              <w:rPr>
                <w:rFonts w:hint="eastAsia" w:ascii="宋体" w:hAnsi="宋体" w:cs="宋体"/>
                <w:sz w:val="24"/>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lang w:val="zh-CN"/>
              </w:rPr>
            </w:pPr>
            <w:r>
              <w:rPr>
                <w:rFonts w:hint="eastAsia" w:ascii="宋体" w:hAnsi="宋体" w:cs="宋体"/>
                <w:sz w:val="24"/>
              </w:rPr>
              <w:t>6</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lang w:val="zh-CN"/>
              </w:rPr>
              <w:t>采购预算（实质性要求）</w:t>
            </w:r>
          </w:p>
        </w:tc>
        <w:tc>
          <w:tcPr>
            <w:tcW w:w="6084" w:type="dxa"/>
          </w:tcPr>
          <w:p>
            <w:pPr>
              <w:pStyle w:val="286"/>
              <w:spacing w:line="312" w:lineRule="auto"/>
              <w:ind w:left="0" w:leftChars="0"/>
              <w:rPr>
                <w:rFonts w:cs="宋体"/>
                <w:snapToGrid/>
                <w:sz w:val="24"/>
                <w:lang w:val="zh-CN"/>
              </w:rPr>
            </w:pPr>
            <w:r>
              <w:rPr>
                <w:rFonts w:hint="eastAsia" w:cs="宋体"/>
                <w:snapToGrid/>
                <w:sz w:val="24"/>
              </w:rPr>
              <w:t>1.</w:t>
            </w:r>
            <w:r>
              <w:rPr>
                <w:rFonts w:hint="eastAsia" w:cs="宋体"/>
                <w:snapToGrid/>
                <w:sz w:val="24"/>
                <w:lang w:val="zh-CN"/>
              </w:rPr>
              <w:t>本项目采购</w:t>
            </w:r>
            <w:r>
              <w:rPr>
                <w:rFonts w:hint="eastAsia" w:cs="宋体"/>
                <w:snapToGrid/>
                <w:sz w:val="24"/>
              </w:rPr>
              <w:t>预算为</w:t>
            </w:r>
            <w:r>
              <w:rPr>
                <w:rFonts w:hint="eastAsia" w:cs="宋体"/>
                <w:snapToGrid/>
                <w:sz w:val="24"/>
                <w:lang w:val="zh-CN"/>
              </w:rPr>
              <w:t>人民币</w:t>
            </w:r>
            <w:r>
              <w:rPr>
                <w:rFonts w:hint="eastAsia" w:hAnsi="宋体" w:cs="宋体"/>
                <w:color w:val="000000"/>
                <w:sz w:val="24"/>
                <w:lang w:val="en-US" w:eastAsia="zh-CN"/>
              </w:rPr>
              <w:t>287661</w:t>
            </w:r>
            <w:r>
              <w:rPr>
                <w:rFonts w:hint="eastAsia" w:cs="宋体"/>
                <w:color w:val="000000"/>
                <w:sz w:val="24"/>
              </w:rPr>
              <w:t>元/年</w:t>
            </w:r>
            <w:r>
              <w:rPr>
                <w:rFonts w:hint="eastAsia" w:cs="宋体"/>
                <w:snapToGrid/>
                <w:sz w:val="24"/>
                <w:lang w:val="zh-CN"/>
              </w:rPr>
              <w:t>（</w:t>
            </w:r>
            <w:r>
              <w:rPr>
                <w:rFonts w:hint="eastAsia" w:cs="宋体"/>
                <w:snapToGrid/>
                <w:sz w:val="24"/>
              </w:rPr>
              <w:t>大写：贰拾</w:t>
            </w:r>
            <w:r>
              <w:rPr>
                <w:rFonts w:hint="eastAsia" w:cs="宋体"/>
                <w:snapToGrid/>
                <w:sz w:val="24"/>
                <w:lang w:eastAsia="zh-CN"/>
              </w:rPr>
              <w:t>捌</w:t>
            </w:r>
            <w:r>
              <w:rPr>
                <w:rFonts w:hint="eastAsia" w:cs="宋体"/>
                <w:snapToGrid/>
                <w:sz w:val="24"/>
              </w:rPr>
              <w:t>万</w:t>
            </w:r>
            <w:r>
              <w:rPr>
                <w:rFonts w:hint="eastAsia" w:cs="宋体"/>
                <w:snapToGrid/>
                <w:sz w:val="24"/>
                <w:lang w:eastAsia="zh-CN"/>
              </w:rPr>
              <w:t>柒仟陆佰陆拾壹</w:t>
            </w:r>
            <w:r>
              <w:rPr>
                <w:rFonts w:hint="eastAsia" w:cs="宋体"/>
                <w:snapToGrid/>
                <w:sz w:val="24"/>
              </w:rPr>
              <w:t>元整/年</w:t>
            </w:r>
            <w:r>
              <w:rPr>
                <w:rFonts w:hint="eastAsia" w:cs="宋体"/>
                <w:snapToGrid/>
                <w:sz w:val="24"/>
                <w:lang w:val="zh-CN"/>
              </w:rPr>
              <w:t>）。</w:t>
            </w:r>
          </w:p>
          <w:p>
            <w:pPr>
              <w:spacing w:line="312" w:lineRule="auto"/>
              <w:rPr>
                <w:rFonts w:ascii="宋体" w:hAnsi="宋体" w:cs="宋体"/>
                <w:sz w:val="24"/>
                <w:lang w:val="zh-CN"/>
              </w:rPr>
            </w:pPr>
            <w:r>
              <w:rPr>
                <w:rFonts w:ascii="宋体" w:hAnsi="宋体" w:cs="宋体"/>
                <w:sz w:val="24"/>
              </w:rPr>
              <w:t>2.</w:t>
            </w:r>
            <w:r>
              <w:rPr>
                <w:rFonts w:hint="eastAsia" w:ascii="宋体" w:hAnsi="宋体" w:cs="宋体"/>
                <w:sz w:val="24"/>
              </w:rPr>
              <w:t>供应商提供的报价不得超过本项采购预算，否则视为无效报价</w:t>
            </w:r>
            <w:r>
              <w:rPr>
                <w:rFonts w:hint="eastAsi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lang w:val="zh-CN"/>
              </w:rPr>
            </w:pPr>
            <w:r>
              <w:rPr>
                <w:rFonts w:hint="eastAsia" w:ascii="宋体" w:hAnsi="宋体" w:cs="宋体"/>
                <w:sz w:val="24"/>
              </w:rPr>
              <w:t>7</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lang w:val="zh-CN"/>
              </w:rPr>
              <w:t>最高限价（实质性要求）</w:t>
            </w:r>
          </w:p>
        </w:tc>
        <w:tc>
          <w:tcPr>
            <w:tcW w:w="6084" w:type="dxa"/>
            <w:vAlign w:val="center"/>
          </w:tcPr>
          <w:p>
            <w:pPr>
              <w:pStyle w:val="286"/>
              <w:spacing w:line="312" w:lineRule="auto"/>
              <w:ind w:left="0" w:leftChars="0"/>
              <w:rPr>
                <w:rFonts w:cs="宋体"/>
                <w:snapToGrid/>
                <w:sz w:val="24"/>
                <w:lang w:val="zh-CN"/>
              </w:rPr>
            </w:pPr>
            <w:r>
              <w:rPr>
                <w:rFonts w:hint="eastAsia" w:cs="宋体"/>
                <w:snapToGrid/>
                <w:sz w:val="24"/>
              </w:rPr>
              <w:t>1.</w:t>
            </w:r>
            <w:r>
              <w:rPr>
                <w:rFonts w:hint="eastAsia" w:cs="宋体"/>
                <w:snapToGrid/>
                <w:sz w:val="24"/>
                <w:lang w:val="zh-CN"/>
              </w:rPr>
              <w:t>本项目</w:t>
            </w:r>
            <w:r>
              <w:rPr>
                <w:rFonts w:hint="eastAsia" w:cs="宋体"/>
                <w:snapToGrid/>
                <w:sz w:val="24"/>
              </w:rPr>
              <w:t>最高限价为</w:t>
            </w:r>
            <w:r>
              <w:rPr>
                <w:rFonts w:hint="eastAsia" w:cs="宋体"/>
                <w:snapToGrid/>
                <w:sz w:val="24"/>
                <w:lang w:val="zh-CN"/>
              </w:rPr>
              <w:t>人民币</w:t>
            </w:r>
            <w:r>
              <w:rPr>
                <w:rFonts w:hint="eastAsia" w:hAnsi="宋体" w:cs="宋体"/>
                <w:color w:val="000000"/>
                <w:sz w:val="24"/>
                <w:lang w:val="en-US" w:eastAsia="zh-CN"/>
              </w:rPr>
              <w:t>287661</w:t>
            </w:r>
            <w:r>
              <w:rPr>
                <w:rFonts w:hint="eastAsia" w:cs="宋体"/>
                <w:color w:val="000000"/>
                <w:sz w:val="24"/>
              </w:rPr>
              <w:t>元/年</w:t>
            </w:r>
            <w:r>
              <w:rPr>
                <w:rFonts w:hint="eastAsia" w:cs="宋体"/>
                <w:snapToGrid/>
                <w:sz w:val="24"/>
                <w:lang w:val="zh-CN"/>
              </w:rPr>
              <w:t>（</w:t>
            </w:r>
            <w:r>
              <w:rPr>
                <w:rFonts w:hint="eastAsia" w:cs="宋体"/>
                <w:snapToGrid/>
                <w:sz w:val="24"/>
              </w:rPr>
              <w:t>大写：贰拾</w:t>
            </w:r>
            <w:r>
              <w:rPr>
                <w:rFonts w:hint="eastAsia" w:cs="宋体"/>
                <w:snapToGrid/>
                <w:sz w:val="24"/>
                <w:lang w:eastAsia="zh-CN"/>
              </w:rPr>
              <w:t>捌</w:t>
            </w:r>
            <w:r>
              <w:rPr>
                <w:rFonts w:hint="eastAsia" w:cs="宋体"/>
                <w:snapToGrid/>
                <w:sz w:val="24"/>
              </w:rPr>
              <w:t>万</w:t>
            </w:r>
            <w:r>
              <w:rPr>
                <w:rFonts w:hint="eastAsia" w:cs="宋体"/>
                <w:snapToGrid/>
                <w:sz w:val="24"/>
                <w:lang w:eastAsia="zh-CN"/>
              </w:rPr>
              <w:t>柒仟陆佰陆拾壹</w:t>
            </w:r>
            <w:r>
              <w:rPr>
                <w:rFonts w:hint="eastAsia" w:cs="宋体"/>
                <w:snapToGrid/>
                <w:sz w:val="24"/>
              </w:rPr>
              <w:t>元整/年</w:t>
            </w:r>
            <w:r>
              <w:rPr>
                <w:rFonts w:hint="eastAsia" w:cs="宋体"/>
                <w:snapToGrid/>
                <w:sz w:val="24"/>
                <w:lang w:val="zh-CN"/>
              </w:rPr>
              <w:t>）。</w:t>
            </w:r>
          </w:p>
          <w:p>
            <w:pPr>
              <w:spacing w:line="312" w:lineRule="auto"/>
              <w:rPr>
                <w:rFonts w:ascii="宋体" w:hAnsi="宋体" w:cs="宋体"/>
                <w:sz w:val="24"/>
                <w:lang w:val="zh-CN"/>
              </w:rPr>
            </w:pPr>
            <w:r>
              <w:rPr>
                <w:rFonts w:ascii="宋体" w:hAnsi="宋体" w:cs="宋体"/>
                <w:sz w:val="24"/>
              </w:rPr>
              <w:t>2.</w:t>
            </w:r>
            <w:r>
              <w:rPr>
                <w:rFonts w:hint="eastAsia" w:ascii="宋体" w:hAnsi="宋体" w:cs="宋体"/>
                <w:sz w:val="24"/>
              </w:rPr>
              <w:t>供应商提供的报价不得超过本项最高限价，否则视为无效报价</w:t>
            </w:r>
            <w:r>
              <w:rPr>
                <w:rFonts w:hint="eastAsi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8</w:t>
            </w:r>
          </w:p>
        </w:tc>
        <w:tc>
          <w:tcPr>
            <w:tcW w:w="2652" w:type="dxa"/>
            <w:vAlign w:val="center"/>
          </w:tcPr>
          <w:p>
            <w:pPr>
              <w:pStyle w:val="118"/>
              <w:ind w:left="38"/>
              <w:jc w:val="center"/>
              <w:rPr>
                <w:rFonts w:hint="eastAsia" w:ascii="宋体" w:hAnsi="宋体" w:eastAsia="宋体" w:cs="宋体"/>
                <w:kern w:val="2"/>
                <w:sz w:val="24"/>
                <w:szCs w:val="24"/>
                <w:lang w:val="zh-CN" w:eastAsia="zh-CN" w:bidi="ar-SA"/>
              </w:rPr>
            </w:pPr>
            <w:r>
              <w:rPr>
                <w:rFonts w:hint="eastAsia" w:cs="宋体"/>
                <w:color w:val="000000"/>
                <w:sz w:val="21"/>
                <w:szCs w:val="21"/>
                <w:lang w:val="zh-CN"/>
              </w:rPr>
              <w:t>小</w:t>
            </w:r>
            <w:r>
              <w:rPr>
                <w:rFonts w:hint="eastAsia" w:ascii="宋体" w:hAnsi="宋体" w:eastAsia="宋体" w:cs="宋体"/>
                <w:kern w:val="2"/>
                <w:sz w:val="24"/>
                <w:szCs w:val="24"/>
                <w:lang w:val="zh-CN" w:eastAsia="zh-CN" w:bidi="ar-SA"/>
              </w:rPr>
              <w:t>微企业（监狱企业、残疾人福利性单位视同小微企业）价格扣除和</w:t>
            </w:r>
          </w:p>
          <w:p>
            <w:pPr>
              <w:pStyle w:val="118"/>
              <w:ind w:left="38"/>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失信企业报价加成</w:t>
            </w:r>
          </w:p>
          <w:p>
            <w:pPr>
              <w:pStyle w:val="118"/>
              <w:ind w:left="38"/>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或者扣分</w:t>
            </w:r>
          </w:p>
          <w:p>
            <w:pPr>
              <w:pStyle w:val="118"/>
              <w:ind w:left="38"/>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其它政府采购相关政策</w:t>
            </w:r>
          </w:p>
          <w:p>
            <w:pPr>
              <w:pStyle w:val="118"/>
              <w:ind w:left="38"/>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（实质性要求）</w:t>
            </w:r>
          </w:p>
          <w:p>
            <w:pPr>
              <w:spacing w:line="312" w:lineRule="auto"/>
              <w:jc w:val="center"/>
              <w:rPr>
                <w:rFonts w:ascii="宋体" w:hAnsi="宋体" w:cs="宋体"/>
                <w:sz w:val="24"/>
                <w:lang w:val="zh-CN"/>
              </w:rPr>
            </w:pPr>
          </w:p>
        </w:tc>
        <w:tc>
          <w:tcPr>
            <w:tcW w:w="6084" w:type="dxa"/>
            <w:vAlign w:val="center"/>
          </w:tcPr>
          <w:p>
            <w:pPr>
              <w:spacing w:line="312" w:lineRule="auto"/>
              <w:jc w:val="center"/>
              <w:rPr>
                <w:rFonts w:hint="eastAsia" w:ascii="宋体" w:hAnsi="宋体" w:cs="宋体"/>
                <w:sz w:val="24"/>
                <w:lang w:val="zh-CN"/>
              </w:rPr>
            </w:pPr>
            <w:r>
              <w:rPr>
                <w:rFonts w:hint="eastAsia" w:ascii="宋体" w:hAnsi="宋体" w:cs="宋体"/>
                <w:sz w:val="24"/>
                <w:lang w:val="zh-CN"/>
              </w:rPr>
              <w:t>一、小微企业（监狱企业、残疾人福利性单位视同小微企业）价格扣除（本项目专门面向中小微企业,故本条不适用）</w:t>
            </w:r>
          </w:p>
          <w:p>
            <w:pPr>
              <w:spacing w:line="312" w:lineRule="auto"/>
              <w:jc w:val="center"/>
              <w:rPr>
                <w:rFonts w:hint="eastAsia" w:ascii="宋体" w:hAnsi="宋体" w:cs="宋体"/>
                <w:sz w:val="24"/>
                <w:lang w:val="zh-CN"/>
              </w:rPr>
            </w:pPr>
            <w:r>
              <w:rPr>
                <w:rFonts w:hint="eastAsia" w:ascii="宋体" w:hAnsi="宋体" w:cs="宋体"/>
                <w:sz w:val="24"/>
                <w:lang w:val="zh-CN"/>
              </w:rPr>
              <w:t>1、根据《政府采购促进中小企业发展管理办法》（财库〔2020〕46号）的规定，对小型和微型企业产品的价格给予10%的价格扣除，用扣除后的价格参与评审。</w:t>
            </w:r>
          </w:p>
          <w:p>
            <w:pPr>
              <w:spacing w:line="312" w:lineRule="auto"/>
              <w:jc w:val="center"/>
              <w:rPr>
                <w:rFonts w:hint="eastAsia" w:ascii="宋体" w:hAnsi="宋体" w:cs="宋体"/>
                <w:sz w:val="24"/>
                <w:lang w:val="zh-CN"/>
              </w:rPr>
            </w:pPr>
            <w:r>
              <w:rPr>
                <w:rFonts w:hint="eastAsia" w:ascii="宋体" w:hAnsi="宋体" w:cs="宋体"/>
                <w:sz w:val="24"/>
                <w:lang w:val="zh-CN"/>
              </w:rPr>
              <w:t>2、参加政府采购活动的中小企业应当提供《中小企业声明函》原件。监狱企业应当提供《监狱企业证明》原件。残疾人福利性单位应当提供《残疾人福利性单位声明函》原件。</w:t>
            </w:r>
          </w:p>
          <w:p>
            <w:pPr>
              <w:spacing w:line="312" w:lineRule="auto"/>
              <w:jc w:val="left"/>
              <w:rPr>
                <w:rFonts w:hint="eastAsia" w:ascii="宋体" w:hAnsi="宋体" w:cs="宋体"/>
                <w:sz w:val="24"/>
                <w:lang w:val="zh-CN"/>
              </w:rPr>
            </w:pPr>
            <w:r>
              <w:rPr>
                <w:rFonts w:hint="eastAsia" w:ascii="宋体" w:hAnsi="宋体" w:cs="宋体"/>
                <w:sz w:val="24"/>
                <w:lang w:val="zh-CN"/>
              </w:rPr>
              <w:t xml:space="preserve">3、大中型企业和其他自然人、法人或者其他组织与小型、微型企业组成联合体共同参加非专门面向中小企业的政府采购活动的，联合体报价协议中约定，小型、微型企业的协议合同金额占到联合体报价协议合同总金额30%以上的，可给予联合体2%的价格扣除。 </w:t>
            </w:r>
          </w:p>
          <w:p>
            <w:pPr>
              <w:spacing w:line="312" w:lineRule="auto"/>
              <w:jc w:val="left"/>
              <w:rPr>
                <w:rFonts w:hint="eastAsia" w:ascii="宋体" w:hAnsi="宋体" w:cs="宋体"/>
                <w:sz w:val="24"/>
                <w:lang w:val="zh-CN"/>
              </w:rPr>
            </w:pPr>
            <w:r>
              <w:rPr>
                <w:rFonts w:hint="eastAsia" w:ascii="宋体" w:hAnsi="宋体" w:cs="宋体"/>
                <w:sz w:val="24"/>
                <w:lang w:val="zh-CN"/>
              </w:rPr>
              <w:t>联合体各方均为小型、微型企业的，联合体视同为小型、微型企业享受规定的扶持政策。组成联合体的大中型企业和其他自然人、法人或者其他组织，与小型、微型企业之间不得存在投资关系。</w:t>
            </w:r>
          </w:p>
          <w:p>
            <w:pPr>
              <w:spacing w:line="312" w:lineRule="auto"/>
              <w:jc w:val="left"/>
              <w:rPr>
                <w:rFonts w:hint="eastAsia" w:ascii="宋体" w:hAnsi="宋体" w:cs="宋体"/>
                <w:sz w:val="24"/>
                <w:lang w:val="zh-CN"/>
              </w:rPr>
            </w:pPr>
            <w:r>
              <w:rPr>
                <w:rFonts w:hint="eastAsia" w:ascii="宋体" w:hAnsi="宋体" w:cs="宋体"/>
                <w:sz w:val="24"/>
                <w:lang w:val="zh-CN"/>
              </w:rPr>
              <w:t>二、失信企业报价加成或者扣分</w:t>
            </w:r>
          </w:p>
          <w:p>
            <w:pPr>
              <w:spacing w:line="312" w:lineRule="auto"/>
              <w:jc w:val="left"/>
              <w:rPr>
                <w:rFonts w:ascii="宋体" w:hAnsi="宋体" w:cs="宋体"/>
                <w:sz w:val="24"/>
              </w:rPr>
            </w:pPr>
            <w:r>
              <w:rPr>
                <w:rFonts w:hint="eastAsia" w:ascii="宋体" w:hAnsi="宋体" w:cs="宋体"/>
                <w:sz w:val="24"/>
                <w:lang w:val="zh-CN"/>
              </w:rPr>
              <w:t>对记入诚信档案且在有效期内的失信供应商，参加政府采购活动按照10%的报价加成，以加成后报价作为该供应商报价参与评审。供应商失信行为惩戒实行无限制累加制，因其失信行为进行报价加成惩戒后报价超过政府采购预算的，其响应文件按照无效处理</w:t>
            </w:r>
            <w:r>
              <w:rPr>
                <w:rFonts w:hint="eastAsia" w:ascii="宋体" w:hAnsi="宋体"/>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lang w:val="zh-CN"/>
              </w:rPr>
            </w:pPr>
            <w:r>
              <w:rPr>
                <w:rFonts w:hint="eastAsia" w:ascii="宋体" w:hAnsi="宋体" w:cs="宋体"/>
                <w:sz w:val="24"/>
              </w:rPr>
              <w:t>9</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lang w:val="zh-CN"/>
              </w:rPr>
              <w:t>联合体</w:t>
            </w:r>
          </w:p>
        </w:tc>
        <w:tc>
          <w:tcPr>
            <w:tcW w:w="6084" w:type="dxa"/>
            <w:vAlign w:val="center"/>
          </w:tcPr>
          <w:p>
            <w:pPr>
              <w:spacing w:line="312" w:lineRule="auto"/>
              <w:rPr>
                <w:rFonts w:ascii="宋体" w:hAnsi="宋体" w:cs="宋体"/>
                <w:sz w:val="24"/>
              </w:rPr>
            </w:pPr>
            <w:r>
              <w:rPr>
                <w:rFonts w:hint="eastAsia" w:ascii="宋体" w:hAnsi="宋体" w:cs="宋体"/>
                <w:sz w:val="24"/>
              </w:rPr>
              <w:t>本项目</w:t>
            </w:r>
            <w:r>
              <w:rPr>
                <w:rFonts w:hint="eastAsia" w:ascii="宋体" w:hAnsi="宋体" w:cs="宋体"/>
                <w:sz w:val="24"/>
                <w:lang w:val="zh-CN"/>
              </w:rPr>
              <w:t>不允许</w:t>
            </w:r>
            <w:r>
              <w:rPr>
                <w:rFonts w:hint="eastAsia" w:ascii="宋体" w:hAnsi="宋体" w:cs="宋体"/>
                <w:sz w:val="24"/>
              </w:rPr>
              <w:t>联合体投标</w:t>
            </w:r>
            <w:r>
              <w:rPr>
                <w:rFonts w:hint="eastAsia" w:ascii="宋体" w:hAnsi="宋体" w:cs="宋体"/>
                <w:sz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10</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lang w:val="zh-CN" w:eastAsia="en-US"/>
              </w:rPr>
              <w:t>响应文件的装订</w:t>
            </w:r>
          </w:p>
        </w:tc>
        <w:tc>
          <w:tcPr>
            <w:tcW w:w="6084" w:type="dxa"/>
            <w:vAlign w:val="center"/>
          </w:tcPr>
          <w:p>
            <w:pPr>
              <w:spacing w:line="312" w:lineRule="auto"/>
              <w:rPr>
                <w:rFonts w:ascii="宋体" w:hAnsi="宋体" w:cs="宋体"/>
                <w:sz w:val="24"/>
                <w:lang w:val="zh-CN"/>
              </w:rPr>
            </w:pPr>
            <w:r>
              <w:rPr>
                <w:rFonts w:hint="eastAsia" w:ascii="宋体" w:hAnsi="宋体" w:cs="宋体"/>
                <w:sz w:val="24"/>
                <w:lang w:val="zh-CN"/>
              </w:rPr>
              <w:t>要求：响应文件(纸质）一式3份，正本1份、副本2份。电子版响应文件一份。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p>
          <w:p>
            <w:pPr>
              <w:spacing w:line="312" w:lineRule="auto"/>
              <w:jc w:val="center"/>
              <w:rPr>
                <w:rFonts w:ascii="宋体" w:hAnsi="宋体" w:cs="宋体"/>
                <w:sz w:val="24"/>
              </w:rPr>
            </w:pPr>
            <w:r>
              <w:rPr>
                <w:rFonts w:hint="eastAsia" w:ascii="宋体" w:hAnsi="宋体" w:cs="宋体"/>
                <w:sz w:val="24"/>
              </w:rPr>
              <w:t>11</w:t>
            </w:r>
          </w:p>
        </w:tc>
        <w:tc>
          <w:tcPr>
            <w:tcW w:w="2652" w:type="dxa"/>
            <w:vAlign w:val="center"/>
          </w:tcPr>
          <w:p>
            <w:pPr>
              <w:spacing w:line="312" w:lineRule="auto"/>
              <w:jc w:val="center"/>
              <w:rPr>
                <w:rFonts w:ascii="宋体" w:hAnsi="宋体" w:cs="宋体"/>
                <w:sz w:val="24"/>
                <w:lang w:val="zh-CN" w:eastAsia="en-US"/>
              </w:rPr>
            </w:pPr>
            <w:r>
              <w:rPr>
                <w:rFonts w:hint="eastAsia" w:ascii="宋体" w:hAnsi="宋体" w:cs="宋体"/>
                <w:sz w:val="24"/>
                <w:lang w:val="zh-CN" w:eastAsia="en-US"/>
              </w:rPr>
              <w:t>递交响应文件地点</w:t>
            </w:r>
          </w:p>
        </w:tc>
        <w:tc>
          <w:tcPr>
            <w:tcW w:w="6084" w:type="dxa"/>
            <w:vAlign w:val="center"/>
          </w:tcPr>
          <w:p>
            <w:pPr>
              <w:spacing w:line="312" w:lineRule="auto"/>
              <w:rPr>
                <w:rFonts w:ascii="宋体" w:hAnsi="宋体" w:cs="宋体"/>
                <w:sz w:val="24"/>
                <w:lang w:val="zh-CN"/>
              </w:rPr>
            </w:pPr>
            <w:r>
              <w:rPr>
                <w:rFonts w:hint="eastAsia" w:ascii="宋体" w:hAnsi="宋体" w:cs="宋体"/>
                <w:sz w:val="24"/>
              </w:rPr>
              <w:t>宜宾市叙州区柏溪镇城中央鼎仁国际A5-2-8/9/10号宜宾麒森建设工程管理有限公司开标室（如有变动，请留意现场通知）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p>
          <w:p>
            <w:pPr>
              <w:spacing w:line="312" w:lineRule="auto"/>
              <w:jc w:val="center"/>
              <w:rPr>
                <w:rFonts w:ascii="宋体" w:hAnsi="宋体" w:cs="宋体"/>
                <w:sz w:val="24"/>
              </w:rPr>
            </w:pPr>
            <w:r>
              <w:rPr>
                <w:rFonts w:hint="eastAsia" w:ascii="宋体" w:hAnsi="宋体" w:cs="宋体"/>
                <w:sz w:val="24"/>
              </w:rPr>
              <w:t>12</w:t>
            </w:r>
          </w:p>
        </w:tc>
        <w:tc>
          <w:tcPr>
            <w:tcW w:w="2652" w:type="dxa"/>
            <w:vAlign w:val="center"/>
          </w:tcPr>
          <w:p>
            <w:pPr>
              <w:spacing w:line="312" w:lineRule="auto"/>
              <w:jc w:val="center"/>
              <w:rPr>
                <w:rFonts w:ascii="宋体" w:hAnsi="宋体" w:cs="宋体"/>
                <w:sz w:val="24"/>
                <w:lang w:val="zh-CN" w:eastAsia="en-US"/>
              </w:rPr>
            </w:pPr>
            <w:r>
              <w:rPr>
                <w:rFonts w:hint="eastAsia" w:ascii="宋体" w:hAnsi="宋体" w:cs="宋体"/>
                <w:sz w:val="24"/>
              </w:rPr>
              <w:t>招标</w:t>
            </w:r>
            <w:r>
              <w:rPr>
                <w:rFonts w:hint="eastAsia" w:ascii="宋体" w:hAnsi="宋体" w:cs="宋体"/>
                <w:sz w:val="24"/>
                <w:lang w:val="zh-CN" w:eastAsia="en-US"/>
              </w:rPr>
              <w:t>时间和地点</w:t>
            </w:r>
          </w:p>
        </w:tc>
        <w:tc>
          <w:tcPr>
            <w:tcW w:w="6084" w:type="dxa"/>
            <w:vAlign w:val="center"/>
          </w:tcPr>
          <w:p>
            <w:pPr>
              <w:spacing w:line="312" w:lineRule="auto"/>
              <w:rPr>
                <w:rFonts w:ascii="宋体" w:hAnsi="宋体" w:cs="宋体"/>
                <w:sz w:val="24"/>
              </w:rPr>
            </w:pPr>
            <w:r>
              <w:rPr>
                <w:rFonts w:hint="eastAsia" w:ascii="宋体" w:hAnsi="宋体" w:cs="宋体"/>
                <w:sz w:val="24"/>
              </w:rPr>
              <w:t>招标</w:t>
            </w:r>
            <w:r>
              <w:rPr>
                <w:rFonts w:hint="eastAsia" w:ascii="宋体" w:hAnsi="宋体" w:cs="宋体"/>
                <w:sz w:val="24"/>
                <w:lang w:val="zh-CN"/>
              </w:rPr>
              <w:t>时间：</w:t>
            </w:r>
            <w:r>
              <w:rPr>
                <w:rFonts w:hint="eastAsia" w:ascii="宋体" w:hAnsi="宋体" w:cs="宋体"/>
                <w:sz w:val="24"/>
              </w:rPr>
              <w:t>2024年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日10:00</w:t>
            </w:r>
          </w:p>
          <w:p>
            <w:pPr>
              <w:spacing w:line="312" w:lineRule="auto"/>
              <w:rPr>
                <w:rFonts w:ascii="宋体" w:hAnsi="宋体" w:cs="宋体"/>
                <w:sz w:val="24"/>
                <w:lang w:val="zh-CN"/>
              </w:rPr>
            </w:pPr>
            <w:r>
              <w:rPr>
                <w:rFonts w:hint="eastAsia" w:ascii="宋体" w:hAnsi="宋体" w:cs="宋体"/>
                <w:sz w:val="24"/>
              </w:rPr>
              <w:t>招标</w:t>
            </w:r>
            <w:r>
              <w:rPr>
                <w:rFonts w:hint="eastAsia" w:ascii="宋体" w:hAnsi="宋体" w:cs="宋体"/>
                <w:sz w:val="24"/>
                <w:lang w:val="zh-CN"/>
              </w:rPr>
              <w:t>地点：</w:t>
            </w:r>
            <w:r>
              <w:rPr>
                <w:rFonts w:hint="eastAsia" w:ascii="宋体" w:hAnsi="宋体" w:cs="宋体"/>
                <w:sz w:val="24"/>
              </w:rPr>
              <w:t>宜宾市叙州区柏溪镇城中央鼎仁国际A5-2-8/9/10号宜宾麒森建设工程管理有限公司开标室</w:t>
            </w:r>
            <w:r>
              <w:rPr>
                <w:rFonts w:hint="eastAsia" w:ascii="宋体" w:hAnsi="宋体" w:cs="宋体"/>
                <w:sz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13</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lang w:val="zh-CN"/>
              </w:rPr>
              <w:t>低于成本价不正当竞争预防措施（实质性要求）</w:t>
            </w:r>
          </w:p>
        </w:tc>
        <w:tc>
          <w:tcPr>
            <w:tcW w:w="6084" w:type="dxa"/>
          </w:tcPr>
          <w:p>
            <w:pPr>
              <w:pStyle w:val="286"/>
              <w:spacing w:line="312" w:lineRule="auto"/>
              <w:ind w:left="0" w:leftChars="0"/>
              <w:rPr>
                <w:rFonts w:cs="宋体"/>
                <w:snapToGrid/>
                <w:sz w:val="24"/>
              </w:rPr>
            </w:pPr>
            <w:r>
              <w:rPr>
                <w:rFonts w:hint="eastAsia" w:cs="宋体"/>
                <w:snapToGrid/>
                <w:sz w:val="24"/>
              </w:rPr>
              <w:t>1.在评审过程中，评审委员会认为供应商的报价明显低于其他有效供应商的报价，有可能影响产品质量或者不能诚信履约的，应当要求其在评审现场合理的时间内提供书面说明，必要时提交相关证明材料；供应商不能证明其报价合理性的，评审委员会应当将其作为无效处理。供应商书面说明应当按照国家财务会计制度的规定要求，逐项就供应商提供的货物、工程和服务的主营业务成本(应根据供应商企业类型予以区别)、税金及附加、销售费用、管理费用、财务费用等成本构成事项详细陈述[若响应文件未附财务报告的，则还需提供完整的财务状况报告(含三表一附注)]。</w:t>
            </w:r>
          </w:p>
          <w:p>
            <w:pPr>
              <w:pStyle w:val="286"/>
              <w:spacing w:line="312" w:lineRule="auto"/>
              <w:ind w:left="0" w:leftChars="0"/>
              <w:rPr>
                <w:rFonts w:cs="宋体"/>
                <w:snapToGrid/>
                <w:sz w:val="24"/>
              </w:rPr>
            </w:pPr>
            <w:r>
              <w:rPr>
                <w:rFonts w:hint="eastAsia" w:cs="宋体"/>
                <w:snapToGrid/>
                <w:sz w:val="24"/>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12" w:lineRule="auto"/>
              <w:rPr>
                <w:rFonts w:ascii="宋体" w:hAnsi="宋体" w:cs="宋体"/>
                <w:sz w:val="24"/>
                <w:lang w:val="zh-CN"/>
              </w:rPr>
            </w:pPr>
            <w:r>
              <w:rPr>
                <w:rFonts w:hint="eastAsia" w:ascii="宋体" w:hAnsi="宋体" w:cs="宋体"/>
                <w:sz w:val="24"/>
              </w:rPr>
              <w:t>3.供应商提供书面说明后，评审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审委员会应当将其作无效响应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14</w:t>
            </w:r>
          </w:p>
        </w:tc>
        <w:tc>
          <w:tcPr>
            <w:tcW w:w="2652" w:type="dxa"/>
            <w:vAlign w:val="center"/>
          </w:tcPr>
          <w:p>
            <w:pPr>
              <w:spacing w:line="312" w:lineRule="auto"/>
              <w:jc w:val="center"/>
              <w:rPr>
                <w:rFonts w:ascii="宋体" w:hAnsi="宋体" w:cs="宋体"/>
                <w:color w:val="auto"/>
                <w:sz w:val="24"/>
              </w:rPr>
            </w:pPr>
            <w:r>
              <w:rPr>
                <w:rFonts w:hint="eastAsia" w:ascii="宋体" w:hAnsi="宋体" w:cs="宋体"/>
                <w:color w:val="auto"/>
                <w:kern w:val="0"/>
                <w:sz w:val="24"/>
              </w:rPr>
              <w:t>所属行业</w:t>
            </w:r>
          </w:p>
        </w:tc>
        <w:tc>
          <w:tcPr>
            <w:tcW w:w="6084" w:type="dxa"/>
            <w:vAlign w:val="center"/>
          </w:tcPr>
          <w:p>
            <w:pPr>
              <w:spacing w:line="312" w:lineRule="auto"/>
              <w:rPr>
                <w:rFonts w:hint="eastAsia"/>
                <w:color w:val="auto"/>
              </w:rPr>
            </w:pPr>
            <w:r>
              <w:rPr>
                <w:rFonts w:hint="eastAsia"/>
                <w:color w:val="auto"/>
              </w:rPr>
              <w:t>所属行业：</w:t>
            </w:r>
          </w:p>
          <w:p>
            <w:pPr>
              <w:pStyle w:val="17"/>
              <w:rPr>
                <w:rFonts w:hint="default"/>
                <w:color w:val="auto"/>
                <w:lang w:val="en-US"/>
              </w:rPr>
            </w:pPr>
            <w:r>
              <w:rPr>
                <w:rFonts w:hint="eastAsia"/>
                <w:color w:val="auto"/>
                <w:sz w:val="24"/>
                <w:szCs w:val="24"/>
                <w:lang w:val="en-US" w:eastAsia="zh-CN"/>
              </w:rPr>
              <w:t>综合医院</w:t>
            </w:r>
          </w:p>
          <w:p>
            <w:pPr>
              <w:rPr>
                <w:rFonts w:hint="eastAsia"/>
                <w:color w:val="auto"/>
              </w:rPr>
            </w:pPr>
          </w:p>
          <w:p>
            <w:pPr>
              <w:pStyle w:val="17"/>
              <w:rPr>
                <w:rFonts w:hint="eastAsia"/>
                <w:color w:val="auto"/>
              </w:rPr>
            </w:pPr>
          </w:p>
          <w:p>
            <w:pPr>
              <w:rPr>
                <w:rFonts w:hint="eastAsia"/>
                <w:color w:val="auto"/>
              </w:rPr>
            </w:pPr>
          </w:p>
          <w:p>
            <w:pPr>
              <w:pStyle w:val="17"/>
              <w:rPr>
                <w:color w:val="auto"/>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15</w:t>
            </w:r>
          </w:p>
        </w:tc>
        <w:tc>
          <w:tcPr>
            <w:tcW w:w="2652" w:type="dxa"/>
            <w:vAlign w:val="center"/>
          </w:tcPr>
          <w:p>
            <w:pPr>
              <w:spacing w:line="312" w:lineRule="auto"/>
              <w:jc w:val="center"/>
              <w:rPr>
                <w:lang w:val="zh-CN"/>
              </w:rPr>
            </w:pPr>
            <w:r>
              <w:rPr>
                <w:rFonts w:hint="eastAsia" w:ascii="宋体" w:hAnsi="宋体" w:cs="宋体"/>
                <w:sz w:val="24"/>
              </w:rPr>
              <w:t>公开招标</w:t>
            </w:r>
            <w:r>
              <w:rPr>
                <w:rFonts w:hint="eastAsia" w:ascii="宋体" w:hAnsi="宋体" w:cs="宋体"/>
                <w:sz w:val="24"/>
                <w:lang w:val="zh-CN"/>
              </w:rPr>
              <w:t>情况公告</w:t>
            </w:r>
          </w:p>
        </w:tc>
        <w:tc>
          <w:tcPr>
            <w:tcW w:w="6084" w:type="dxa"/>
            <w:vAlign w:val="center"/>
          </w:tcPr>
          <w:p>
            <w:pPr>
              <w:spacing w:line="312" w:lineRule="auto"/>
              <w:rPr>
                <w:rFonts w:ascii="宋体" w:hAnsi="宋体" w:cs="宋体"/>
                <w:sz w:val="24"/>
                <w:lang w:val="zh-CN"/>
              </w:rPr>
            </w:pPr>
            <w:r>
              <w:rPr>
                <w:rFonts w:hint="eastAsia" w:ascii="宋体" w:hAnsi="宋体" w:cs="宋体"/>
                <w:sz w:val="24"/>
                <w:lang w:val="zh-CN"/>
              </w:rPr>
              <w:t>供应商资格审查情况、</w:t>
            </w:r>
            <w:r>
              <w:rPr>
                <w:rFonts w:hint="eastAsia" w:ascii="宋体" w:hAnsi="宋体" w:cs="宋体"/>
                <w:sz w:val="24"/>
              </w:rPr>
              <w:t>公开招标</w:t>
            </w:r>
            <w:r>
              <w:rPr>
                <w:rFonts w:hint="eastAsia" w:ascii="宋体" w:hAnsi="宋体" w:cs="宋体"/>
                <w:sz w:val="24"/>
                <w:lang w:val="zh-CN"/>
              </w:rPr>
              <w:t>情况、报价情况等在</w:t>
            </w:r>
            <w:r>
              <w:rPr>
                <w:rFonts w:hint="eastAsia" w:ascii="宋体" w:hAnsi="宋体" w:cs="宋体"/>
                <w:sz w:val="24"/>
                <w:lang w:eastAsia="zh-CN"/>
              </w:rPr>
              <w:t>中国政府采购网(www.ccgp.gov.cn)</w:t>
            </w:r>
            <w:r>
              <w:rPr>
                <w:rFonts w:hint="eastAsia" w:ascii="宋体" w:hAnsi="宋体" w:cs="宋体"/>
                <w:sz w:val="24"/>
                <w:lang w:val="zh-CN"/>
              </w:rPr>
              <w:t>中予以公告。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16</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rPr>
              <w:t>公开招标</w:t>
            </w:r>
            <w:r>
              <w:rPr>
                <w:rFonts w:hint="eastAsia" w:ascii="宋体" w:hAnsi="宋体" w:cs="宋体"/>
                <w:sz w:val="24"/>
                <w:lang w:val="zh-CN"/>
              </w:rPr>
              <w:t>保证金</w:t>
            </w:r>
          </w:p>
        </w:tc>
        <w:tc>
          <w:tcPr>
            <w:tcW w:w="6084" w:type="dxa"/>
            <w:vAlign w:val="center"/>
          </w:tcPr>
          <w:p>
            <w:pPr>
              <w:spacing w:line="312" w:lineRule="auto"/>
              <w:rPr>
                <w:rFonts w:ascii="宋体" w:hAnsi="宋体" w:cs="宋体"/>
                <w:sz w:val="24"/>
                <w:lang w:val="zh-CN"/>
              </w:rPr>
            </w:pPr>
            <w:r>
              <w:rPr>
                <w:rFonts w:hint="eastAsia" w:ascii="宋体" w:hAnsi="宋体" w:cs="宋体"/>
                <w:color w:val="auto"/>
                <w:sz w:val="24"/>
              </w:rPr>
              <w:t>本项目不收取公开招标保证金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lang w:val="zh-CN"/>
              </w:rPr>
              <w:t>1</w:t>
            </w:r>
            <w:r>
              <w:rPr>
                <w:rFonts w:hint="eastAsia" w:ascii="宋体" w:hAnsi="宋体" w:cs="宋体"/>
                <w:sz w:val="24"/>
              </w:rPr>
              <w:t>7</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lang w:val="zh-CN"/>
              </w:rPr>
              <w:t>履约保证金</w:t>
            </w:r>
          </w:p>
        </w:tc>
        <w:tc>
          <w:tcPr>
            <w:tcW w:w="6084" w:type="dxa"/>
            <w:vAlign w:val="center"/>
          </w:tcPr>
          <w:p>
            <w:pPr>
              <w:spacing w:line="312" w:lineRule="auto"/>
              <w:rPr>
                <w:rFonts w:ascii="宋体" w:hAnsi="宋体" w:cs="宋体"/>
                <w:sz w:val="24"/>
                <w:lang w:val="zh-CN"/>
              </w:rPr>
            </w:pPr>
            <w:r>
              <w:rPr>
                <w:rFonts w:hint="eastAsia" w:ascii="宋体" w:hAnsi="宋体" w:cs="宋体"/>
                <w:color w:val="auto"/>
                <w:sz w:val="24"/>
              </w:rPr>
              <w:t>收取履约保证金</w:t>
            </w:r>
            <w:r>
              <w:rPr>
                <w:rFonts w:hint="eastAsia" w:ascii="宋体" w:hAnsi="宋体" w:cs="宋体"/>
                <w:color w:val="auto"/>
                <w:sz w:val="24"/>
                <w:lang w:val="en-US" w:eastAsia="zh-CN"/>
              </w:rPr>
              <w:t>5%</w:t>
            </w:r>
            <w:r>
              <w:rPr>
                <w:rFonts w:hint="eastAsia" w:ascii="宋体" w:hAnsi="宋体" w:cs="宋体"/>
                <w:color w:val="auto"/>
                <w:sz w:val="24"/>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lang w:val="zh-CN"/>
              </w:rPr>
              <w:t>1</w:t>
            </w:r>
            <w:r>
              <w:rPr>
                <w:rFonts w:hint="eastAsia" w:ascii="宋体" w:hAnsi="宋体" w:cs="宋体"/>
                <w:sz w:val="24"/>
              </w:rPr>
              <w:t>8</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rPr>
              <w:t>公开招标</w:t>
            </w:r>
            <w:r>
              <w:rPr>
                <w:rFonts w:hint="eastAsia" w:ascii="宋体" w:hAnsi="宋体" w:cs="宋体"/>
                <w:sz w:val="24"/>
                <w:lang w:val="zh-CN"/>
              </w:rPr>
              <w:t>文件咨询</w:t>
            </w:r>
          </w:p>
        </w:tc>
        <w:tc>
          <w:tcPr>
            <w:tcW w:w="6084" w:type="dxa"/>
            <w:vAlign w:val="center"/>
          </w:tcPr>
          <w:p>
            <w:pPr>
              <w:spacing w:line="312" w:lineRule="auto"/>
              <w:rPr>
                <w:rFonts w:ascii="宋体" w:hAnsi="宋体" w:cs="宋体"/>
                <w:color w:val="FF0000"/>
                <w:sz w:val="24"/>
              </w:rPr>
            </w:pPr>
            <w:r>
              <w:rPr>
                <w:rFonts w:hint="eastAsia" w:ascii="宋体" w:hAnsi="宋体" w:cs="宋体"/>
                <w:sz w:val="24"/>
                <w:lang w:val="zh-CN"/>
              </w:rPr>
              <w:t>联系人：</w:t>
            </w:r>
            <w:r>
              <w:rPr>
                <w:rFonts w:hint="eastAsia" w:ascii="宋体" w:hAnsi="宋体" w:cs="宋体"/>
                <w:sz w:val="24"/>
                <w:lang w:eastAsia="zh-CN"/>
              </w:rPr>
              <w:t>高女士</w:t>
            </w:r>
            <w:r>
              <w:rPr>
                <w:rFonts w:hint="eastAsia" w:ascii="宋体" w:hAnsi="宋体" w:cs="宋体"/>
                <w:sz w:val="24"/>
              </w:rPr>
              <w:t>；</w:t>
            </w:r>
            <w:r>
              <w:rPr>
                <w:rFonts w:hint="eastAsia" w:ascii="宋体" w:hAnsi="宋体" w:cs="宋体"/>
                <w:sz w:val="24"/>
                <w:lang w:val="zh-CN"/>
              </w:rPr>
              <w:t xml:space="preserve"> 联系电话：</w:t>
            </w:r>
            <w:r>
              <w:rPr>
                <w:rFonts w:hint="eastAsia" w:ascii="宋体" w:hAnsi="宋体" w:cs="宋体"/>
                <w:kern w:val="0"/>
                <w:sz w:val="24"/>
                <w:lang w:val="zh-CN"/>
              </w:rPr>
              <w:t>0831-</w:t>
            </w:r>
            <w:r>
              <w:rPr>
                <w:rFonts w:hint="eastAsia" w:ascii="宋体" w:hAnsi="宋体" w:cs="宋体"/>
                <w:kern w:val="0"/>
                <w:sz w:val="24"/>
              </w:rPr>
              <w:t>8751881</w:t>
            </w:r>
            <w:r>
              <w:rPr>
                <w:rFonts w:hint="eastAsia" w:ascii="宋体" w:hAnsi="宋体" w:cs="宋体"/>
                <w:sz w:val="24"/>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lang w:val="zh-CN"/>
              </w:rPr>
              <w:t>1</w:t>
            </w:r>
            <w:r>
              <w:rPr>
                <w:rFonts w:hint="eastAsia" w:ascii="宋体" w:hAnsi="宋体" w:cs="宋体"/>
                <w:sz w:val="24"/>
              </w:rPr>
              <w:t>9</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rPr>
              <w:t>公开招标</w:t>
            </w:r>
            <w:r>
              <w:rPr>
                <w:rFonts w:hint="eastAsia" w:ascii="宋体" w:hAnsi="宋体" w:cs="宋体"/>
                <w:sz w:val="24"/>
                <w:lang w:val="zh-CN"/>
              </w:rPr>
              <w:t>过程、结果工作咨询</w:t>
            </w:r>
          </w:p>
        </w:tc>
        <w:tc>
          <w:tcPr>
            <w:tcW w:w="6084" w:type="dxa"/>
            <w:vAlign w:val="center"/>
          </w:tcPr>
          <w:p>
            <w:pPr>
              <w:spacing w:line="312" w:lineRule="auto"/>
              <w:rPr>
                <w:rFonts w:ascii="宋体" w:hAnsi="宋体" w:cs="宋体"/>
                <w:sz w:val="24"/>
                <w:lang w:val="zh-CN"/>
              </w:rPr>
            </w:pPr>
            <w:r>
              <w:rPr>
                <w:rFonts w:hint="eastAsia" w:ascii="宋体" w:hAnsi="宋体" w:cs="宋体"/>
                <w:sz w:val="24"/>
                <w:lang w:val="zh-CN"/>
              </w:rPr>
              <w:t>联系人：</w:t>
            </w:r>
            <w:r>
              <w:rPr>
                <w:rFonts w:hint="eastAsia" w:ascii="宋体" w:hAnsi="宋体" w:cs="宋体"/>
                <w:sz w:val="24"/>
                <w:lang w:eastAsia="zh-CN"/>
              </w:rPr>
              <w:t>高女士</w:t>
            </w:r>
            <w:r>
              <w:rPr>
                <w:rFonts w:hint="eastAsia" w:ascii="宋体" w:hAnsi="宋体" w:cs="宋体"/>
                <w:sz w:val="24"/>
              </w:rPr>
              <w:t>；</w:t>
            </w:r>
            <w:r>
              <w:rPr>
                <w:rFonts w:hint="eastAsia" w:ascii="宋体" w:hAnsi="宋体" w:cs="宋体"/>
                <w:sz w:val="24"/>
                <w:lang w:val="zh-CN"/>
              </w:rPr>
              <w:t xml:space="preserve"> 联系电话：</w:t>
            </w:r>
            <w:r>
              <w:rPr>
                <w:rFonts w:hint="eastAsia" w:ascii="宋体" w:hAnsi="宋体" w:cs="宋体"/>
                <w:kern w:val="0"/>
                <w:sz w:val="24"/>
                <w:lang w:val="zh-CN"/>
              </w:rPr>
              <w:t>0831-</w:t>
            </w:r>
            <w:r>
              <w:rPr>
                <w:rFonts w:hint="eastAsia" w:ascii="宋体" w:hAnsi="宋体" w:cs="宋体"/>
                <w:kern w:val="0"/>
                <w:sz w:val="24"/>
              </w:rPr>
              <w:t>8751881</w:t>
            </w:r>
            <w:r>
              <w:rPr>
                <w:rFonts w:hint="eastAsia" w:ascii="宋体" w:hAnsi="宋体" w:cs="宋体"/>
                <w:sz w:val="24"/>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20</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lang w:val="zh-CN"/>
              </w:rPr>
              <w:t>成交通知书领取</w:t>
            </w:r>
          </w:p>
        </w:tc>
        <w:tc>
          <w:tcPr>
            <w:tcW w:w="6084" w:type="dxa"/>
            <w:vAlign w:val="center"/>
          </w:tcPr>
          <w:p>
            <w:pPr>
              <w:spacing w:line="312" w:lineRule="auto"/>
              <w:rPr>
                <w:rFonts w:ascii="宋体" w:hAnsi="宋体" w:cs="宋体"/>
                <w:sz w:val="24"/>
                <w:lang w:val="zh-CN"/>
              </w:rPr>
            </w:pPr>
            <w:r>
              <w:rPr>
                <w:rFonts w:hint="eastAsia" w:ascii="宋体" w:hAnsi="宋体" w:cs="宋体"/>
                <w:sz w:val="24"/>
                <w:lang w:val="zh-CN"/>
              </w:rPr>
              <w:t>采购结果公告在</w:t>
            </w:r>
            <w:r>
              <w:rPr>
                <w:rFonts w:hint="eastAsia" w:ascii="宋体" w:hAnsi="宋体" w:cs="宋体"/>
                <w:sz w:val="24"/>
                <w:lang w:eastAsia="zh-CN"/>
              </w:rPr>
              <w:t>中国政府采购网(www.ccgp.gov.cn)</w:t>
            </w:r>
            <w:r>
              <w:rPr>
                <w:rFonts w:hint="eastAsia" w:ascii="宋体" w:hAnsi="宋体" w:cs="宋体"/>
                <w:sz w:val="24"/>
                <w:lang w:val="zh-CN"/>
              </w:rPr>
              <w:t>上发布后，请成交供应商凭有效身份证明证件到</w:t>
            </w:r>
            <w:r>
              <w:rPr>
                <w:rFonts w:hint="eastAsia" w:ascii="宋体" w:hAnsi="宋体" w:cs="宋体"/>
                <w:sz w:val="24"/>
              </w:rPr>
              <w:t>宜宾麒森建设工程管理有限公司</w:t>
            </w:r>
            <w:r>
              <w:rPr>
                <w:rFonts w:hint="eastAsia" w:ascii="宋体" w:hAnsi="宋体" w:cs="宋体"/>
                <w:sz w:val="24"/>
                <w:lang w:val="zh-CN"/>
              </w:rPr>
              <w:t>领取成交通知书。</w:t>
            </w:r>
          </w:p>
          <w:p>
            <w:pPr>
              <w:spacing w:line="312" w:lineRule="auto"/>
              <w:rPr>
                <w:rFonts w:ascii="宋体" w:hAnsi="宋体" w:cs="宋体"/>
                <w:sz w:val="24"/>
                <w:lang w:val="zh-CN"/>
              </w:rPr>
            </w:pPr>
            <w:r>
              <w:rPr>
                <w:rFonts w:hint="eastAsia" w:ascii="宋体" w:hAnsi="宋体" w:cs="宋体"/>
                <w:sz w:val="24"/>
                <w:lang w:val="zh-CN"/>
              </w:rPr>
              <w:t>联系电话：</w:t>
            </w:r>
            <w:r>
              <w:rPr>
                <w:rFonts w:hint="eastAsia" w:ascii="宋体" w:hAnsi="宋体" w:cs="宋体"/>
                <w:sz w:val="24"/>
              </w:rPr>
              <w:t>0831-8751881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vAlign w:val="center"/>
          </w:tcPr>
          <w:p>
            <w:pPr>
              <w:spacing w:line="312" w:lineRule="auto"/>
              <w:jc w:val="center"/>
              <w:rPr>
                <w:rFonts w:ascii="宋体" w:hAnsi="宋体" w:cs="宋体"/>
                <w:sz w:val="24"/>
              </w:rPr>
            </w:pPr>
            <w:r>
              <w:rPr>
                <w:rFonts w:hint="eastAsia" w:ascii="宋体" w:hAnsi="宋体" w:cs="宋体"/>
                <w:sz w:val="24"/>
              </w:rPr>
              <w:t>21</w:t>
            </w:r>
          </w:p>
        </w:tc>
        <w:tc>
          <w:tcPr>
            <w:tcW w:w="2652" w:type="dxa"/>
            <w:vAlign w:val="center"/>
          </w:tcPr>
          <w:p>
            <w:pPr>
              <w:spacing w:line="312" w:lineRule="auto"/>
              <w:jc w:val="center"/>
              <w:rPr>
                <w:rFonts w:ascii="宋体" w:hAnsi="宋体" w:cs="宋体"/>
                <w:sz w:val="24"/>
                <w:lang w:val="zh-CN"/>
              </w:rPr>
            </w:pPr>
            <w:r>
              <w:rPr>
                <w:rFonts w:hint="eastAsia" w:ascii="宋体" w:hAnsi="宋体" w:cs="宋体"/>
                <w:sz w:val="24"/>
                <w:lang w:val="zh-CN"/>
              </w:rPr>
              <w:t>供应商询问</w:t>
            </w:r>
          </w:p>
        </w:tc>
        <w:tc>
          <w:tcPr>
            <w:tcW w:w="6084" w:type="dxa"/>
          </w:tcPr>
          <w:p>
            <w:pPr>
              <w:spacing w:line="312" w:lineRule="auto"/>
              <w:rPr>
                <w:rFonts w:ascii="宋体" w:hAnsi="宋体" w:cs="宋体"/>
                <w:sz w:val="24"/>
                <w:lang w:val="zh-CN"/>
              </w:rPr>
            </w:pPr>
            <w:r>
              <w:rPr>
                <w:rFonts w:hint="eastAsia" w:ascii="宋体" w:hAnsi="宋体" w:cs="宋体"/>
                <w:sz w:val="24"/>
                <w:lang w:val="zh-CN"/>
              </w:rPr>
              <w:t>根据委托代理协议约定，供应商询问由采购代理机构负责答复。</w:t>
            </w:r>
          </w:p>
          <w:p>
            <w:pPr>
              <w:spacing w:line="312" w:lineRule="auto"/>
              <w:rPr>
                <w:rFonts w:hint="default" w:ascii="宋体" w:hAnsi="宋体" w:eastAsia="宋体" w:cs="宋体"/>
                <w:sz w:val="24"/>
                <w:lang w:val="en-US" w:eastAsia="zh-CN"/>
              </w:rPr>
            </w:pPr>
            <w:r>
              <w:rPr>
                <w:rFonts w:hint="eastAsia" w:ascii="宋体" w:hAnsi="宋体" w:cs="宋体"/>
                <w:sz w:val="24"/>
                <w:lang w:val="zh-CN"/>
              </w:rPr>
              <w:t>联系电话：</w:t>
            </w:r>
            <w:r>
              <w:rPr>
                <w:rFonts w:hint="eastAsia" w:ascii="宋体" w:hAnsi="宋体" w:cs="宋体"/>
                <w:sz w:val="24"/>
              </w:rPr>
              <w:t>0831-8751881</w:t>
            </w:r>
            <w:r>
              <w:rPr>
                <w:rFonts w:hint="eastAsia" w:ascii="宋体" w:hAnsi="宋体" w:cs="宋体"/>
                <w:sz w:val="24"/>
                <w:lang w:val="en-US" w:eastAsia="zh-CN"/>
              </w:rPr>
              <w:t xml:space="preserve">   15928832063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tcBorders>
              <w:top w:val="single" w:color="auto" w:sz="8" w:space="0"/>
              <w:left w:val="single" w:color="auto" w:sz="18" w:space="0"/>
              <w:bottom w:val="single" w:color="auto" w:sz="8" w:space="0"/>
              <w:right w:val="single" w:color="auto" w:sz="8" w:space="0"/>
            </w:tcBorders>
            <w:vAlign w:val="center"/>
          </w:tcPr>
          <w:p>
            <w:pPr>
              <w:spacing w:line="312" w:lineRule="auto"/>
              <w:jc w:val="center"/>
              <w:rPr>
                <w:rFonts w:ascii="宋体" w:hAnsi="宋体" w:cs="宋体"/>
                <w:sz w:val="24"/>
              </w:rPr>
            </w:pPr>
          </w:p>
          <w:p>
            <w:pPr>
              <w:spacing w:line="312" w:lineRule="auto"/>
              <w:jc w:val="center"/>
              <w:rPr>
                <w:rFonts w:ascii="宋体" w:hAnsi="宋体" w:cs="宋体"/>
                <w:sz w:val="24"/>
              </w:rPr>
            </w:pPr>
            <w:r>
              <w:rPr>
                <w:rFonts w:hint="eastAsia" w:ascii="宋体" w:hAnsi="宋体" w:cs="宋体"/>
                <w:sz w:val="24"/>
              </w:rPr>
              <w:t>22</w:t>
            </w:r>
          </w:p>
        </w:tc>
        <w:tc>
          <w:tcPr>
            <w:tcW w:w="2652" w:type="dxa"/>
            <w:tcBorders>
              <w:top w:val="single" w:color="auto" w:sz="8" w:space="0"/>
              <w:left w:val="single" w:color="auto" w:sz="8" w:space="0"/>
              <w:bottom w:val="single" w:color="auto" w:sz="8" w:space="0"/>
              <w:right w:val="single" w:color="auto" w:sz="8" w:space="0"/>
            </w:tcBorders>
            <w:vAlign w:val="center"/>
          </w:tcPr>
          <w:p>
            <w:pPr>
              <w:spacing w:line="312" w:lineRule="auto"/>
              <w:jc w:val="center"/>
              <w:rPr>
                <w:rFonts w:ascii="宋体" w:hAnsi="宋体" w:cs="宋体"/>
                <w:sz w:val="24"/>
                <w:lang w:val="zh-CN"/>
              </w:rPr>
            </w:pPr>
            <w:r>
              <w:rPr>
                <w:rFonts w:hint="eastAsia" w:ascii="宋体" w:hAnsi="宋体" w:cs="宋体"/>
                <w:sz w:val="24"/>
                <w:lang w:val="zh-CN"/>
              </w:rPr>
              <w:t>供应商质疑</w:t>
            </w:r>
          </w:p>
        </w:tc>
        <w:tc>
          <w:tcPr>
            <w:tcW w:w="6084" w:type="dxa"/>
            <w:tcBorders>
              <w:top w:val="single" w:color="auto" w:sz="8" w:space="0"/>
              <w:left w:val="single" w:color="auto" w:sz="8" w:space="0"/>
              <w:bottom w:val="single" w:color="auto" w:sz="8" w:space="0"/>
              <w:right w:val="single" w:color="auto" w:sz="18" w:space="0"/>
            </w:tcBorders>
            <w:vAlign w:val="center"/>
          </w:tcPr>
          <w:p>
            <w:pPr>
              <w:spacing w:line="312" w:lineRule="auto"/>
              <w:rPr>
                <w:rFonts w:ascii="宋体" w:hAnsi="宋体" w:cs="宋体"/>
                <w:sz w:val="24"/>
                <w:lang w:val="zh-CN"/>
              </w:rPr>
            </w:pPr>
            <w:r>
              <w:rPr>
                <w:rFonts w:hint="eastAsia" w:ascii="宋体" w:hAnsi="宋体" w:cs="宋体"/>
                <w:sz w:val="24"/>
                <w:lang w:val="zh-CN"/>
              </w:rPr>
              <w:t>1.根据委托代理协议约定，对</w:t>
            </w:r>
            <w:r>
              <w:rPr>
                <w:rFonts w:hint="eastAsia" w:ascii="宋体" w:hAnsi="宋体" w:cs="宋体"/>
                <w:sz w:val="24"/>
              </w:rPr>
              <w:t>公开招标</w:t>
            </w:r>
            <w:r>
              <w:rPr>
                <w:rFonts w:hint="eastAsia" w:ascii="宋体" w:hAnsi="宋体" w:cs="宋体"/>
                <w:sz w:val="24"/>
                <w:lang w:val="zh-CN"/>
              </w:rPr>
              <w:t>文件的质疑由采购代理机构负责答复；对</w:t>
            </w:r>
            <w:r>
              <w:rPr>
                <w:rFonts w:hint="eastAsia" w:ascii="宋体" w:hAnsi="宋体" w:cs="宋体"/>
                <w:sz w:val="24"/>
              </w:rPr>
              <w:t>公开招标</w:t>
            </w:r>
            <w:r>
              <w:rPr>
                <w:rFonts w:hint="eastAsia" w:ascii="宋体" w:hAnsi="宋体" w:cs="宋体"/>
                <w:sz w:val="24"/>
                <w:lang w:val="zh-CN"/>
              </w:rPr>
              <w:t>过程的质疑由采购代理机构负责答复；对</w:t>
            </w:r>
            <w:r>
              <w:rPr>
                <w:rFonts w:hint="eastAsia" w:ascii="宋体" w:hAnsi="宋体" w:cs="宋体"/>
                <w:sz w:val="24"/>
              </w:rPr>
              <w:t>公开招标</w:t>
            </w:r>
            <w:r>
              <w:rPr>
                <w:rFonts w:hint="eastAsia" w:ascii="宋体" w:hAnsi="宋体" w:cs="宋体"/>
                <w:sz w:val="24"/>
                <w:lang w:val="zh-CN"/>
              </w:rPr>
              <w:t>结果的质疑由采购代理机构负责答复。</w:t>
            </w:r>
          </w:p>
          <w:p>
            <w:pPr>
              <w:spacing w:line="312" w:lineRule="auto"/>
              <w:rPr>
                <w:rFonts w:ascii="宋体" w:hAnsi="宋体" w:cs="宋体"/>
                <w:sz w:val="24"/>
                <w:lang w:val="zh-CN"/>
              </w:rPr>
            </w:pPr>
            <w:r>
              <w:rPr>
                <w:rFonts w:hint="eastAsia" w:ascii="宋体" w:hAnsi="宋体" w:cs="宋体"/>
                <w:sz w:val="24"/>
                <w:lang w:val="zh-CN"/>
              </w:rPr>
              <w:t>2.提出质疑函的时限要求：供应商认为</w:t>
            </w:r>
            <w:r>
              <w:rPr>
                <w:rFonts w:hint="eastAsia" w:ascii="宋体" w:hAnsi="宋体" w:cs="宋体"/>
                <w:sz w:val="24"/>
              </w:rPr>
              <w:t>公开招标</w:t>
            </w:r>
            <w:r>
              <w:rPr>
                <w:rFonts w:hint="eastAsia" w:ascii="宋体" w:hAnsi="宋体" w:cs="宋体"/>
                <w:sz w:val="24"/>
                <w:lang w:val="zh-CN"/>
              </w:rPr>
              <w:t>文件、采购过程、中标或者成交结果使自己的权益受到损害的，可以在知道或者应知其权益受到损害之日起7个工作日内，以书面形式向采购代理机构提出质疑。</w:t>
            </w:r>
          </w:p>
          <w:p>
            <w:pPr>
              <w:spacing w:line="312" w:lineRule="auto"/>
              <w:rPr>
                <w:rFonts w:ascii="宋体" w:hAnsi="宋体" w:cs="宋体"/>
                <w:sz w:val="24"/>
              </w:rPr>
            </w:pPr>
            <w:r>
              <w:rPr>
                <w:rFonts w:hint="eastAsia" w:ascii="宋体" w:hAnsi="宋体" w:cs="宋体"/>
                <w:sz w:val="24"/>
                <w:lang w:val="zh-CN"/>
              </w:rPr>
              <w:t>3.</w:t>
            </w:r>
            <w:r>
              <w:rPr>
                <w:rFonts w:hint="eastAsia" w:ascii="宋体" w:hAnsi="宋体" w:cs="宋体"/>
              </w:rPr>
              <w:t xml:space="preserve"> </w:t>
            </w:r>
            <w:r>
              <w:rPr>
                <w:rFonts w:hint="eastAsia" w:ascii="宋体" w:hAnsi="宋体" w:cs="宋体"/>
                <w:sz w:val="24"/>
                <w:lang w:val="zh-CN"/>
              </w:rPr>
              <w:t>质疑方式：在法定时间内以书面形式现场提交质疑函(质疑函签收后7个工作日内未收到答复的，可主动电话询问相关事宜)。</w:t>
            </w:r>
          </w:p>
          <w:p>
            <w:pPr>
              <w:spacing w:line="312" w:lineRule="auto"/>
              <w:rPr>
                <w:rFonts w:hint="eastAsia" w:ascii="宋体" w:hAnsi="宋体" w:eastAsia="宋体" w:cs="宋体"/>
                <w:sz w:val="24"/>
                <w:lang w:eastAsia="zh-CN"/>
              </w:rPr>
            </w:pPr>
            <w:r>
              <w:rPr>
                <w:rFonts w:hint="eastAsia" w:ascii="宋体" w:hAnsi="宋体" w:cs="宋体"/>
                <w:sz w:val="24"/>
                <w:lang w:val="zh-CN"/>
              </w:rPr>
              <w:t>联 系 人：</w:t>
            </w:r>
            <w:r>
              <w:rPr>
                <w:rFonts w:hint="eastAsia" w:ascii="宋体" w:hAnsi="宋体" w:cs="宋体"/>
                <w:sz w:val="24"/>
                <w:lang w:eastAsia="zh-CN"/>
              </w:rPr>
              <w:t>高女士</w:t>
            </w:r>
          </w:p>
          <w:p>
            <w:pPr>
              <w:spacing w:line="312" w:lineRule="auto"/>
              <w:rPr>
                <w:rFonts w:hint="default" w:ascii="宋体" w:hAnsi="宋体" w:eastAsia="宋体" w:cs="宋体"/>
                <w:sz w:val="24"/>
                <w:lang w:val="en-US" w:eastAsia="zh-CN"/>
              </w:rPr>
            </w:pPr>
            <w:r>
              <w:rPr>
                <w:rFonts w:hint="eastAsia" w:ascii="宋体" w:hAnsi="宋体" w:cs="宋体"/>
                <w:sz w:val="24"/>
                <w:lang w:val="zh-CN"/>
              </w:rPr>
              <w:t>联系电话：0831-</w:t>
            </w:r>
            <w:r>
              <w:rPr>
                <w:rFonts w:hint="eastAsia" w:ascii="宋体" w:hAnsi="宋体" w:cs="宋体"/>
                <w:sz w:val="24"/>
              </w:rPr>
              <w:t>8751881</w:t>
            </w:r>
            <w:r>
              <w:rPr>
                <w:rFonts w:hint="eastAsia" w:ascii="宋体" w:hAnsi="宋体" w:cs="宋体"/>
                <w:sz w:val="24"/>
                <w:lang w:val="en-US" w:eastAsia="zh-CN"/>
              </w:rPr>
              <w:t xml:space="preserve">  15928832063</w:t>
            </w:r>
          </w:p>
          <w:p>
            <w:pPr>
              <w:spacing w:line="312" w:lineRule="auto"/>
              <w:rPr>
                <w:rFonts w:ascii="宋体" w:hAnsi="宋体" w:cs="宋体"/>
                <w:sz w:val="24"/>
                <w:lang w:val="zh-CN"/>
              </w:rPr>
            </w:pPr>
            <w:r>
              <w:rPr>
                <w:rFonts w:hint="eastAsia" w:ascii="宋体" w:hAnsi="宋体" w:cs="宋体"/>
                <w:sz w:val="24"/>
                <w:lang w:val="zh-CN"/>
              </w:rPr>
              <w:t>联系地址：宜宾市叙州区柏溪镇城中央鼎仁国际A5-2-8/9/10号宜宾麒森建设工程管理有限公司</w:t>
            </w:r>
          </w:p>
          <w:p>
            <w:pPr>
              <w:spacing w:line="312" w:lineRule="auto"/>
              <w:rPr>
                <w:rFonts w:ascii="宋体" w:hAnsi="宋体" w:cs="宋体"/>
                <w:sz w:val="24"/>
              </w:rPr>
            </w:pPr>
            <w:r>
              <w:rPr>
                <w:rFonts w:hint="eastAsia" w:ascii="宋体" w:hAnsi="宋体" w:cs="宋体"/>
                <w:sz w:val="24"/>
                <w:lang w:val="zh-CN"/>
              </w:rPr>
              <w:t>邮编：</w:t>
            </w:r>
            <w:r>
              <w:rPr>
                <w:rFonts w:hint="eastAsia" w:ascii="宋体" w:hAnsi="宋体" w:cs="宋体"/>
                <w:sz w:val="24"/>
              </w:rPr>
              <w:t>644600</w:t>
            </w:r>
          </w:p>
          <w:p>
            <w:pPr>
              <w:spacing w:line="312" w:lineRule="auto"/>
              <w:rPr>
                <w:rFonts w:ascii="宋体" w:hAnsi="宋体" w:cs="宋体"/>
                <w:sz w:val="24"/>
              </w:rPr>
            </w:pPr>
            <w:r>
              <w:rPr>
                <w:rFonts w:hint="eastAsia" w:ascii="宋体" w:hAnsi="宋体" w:cs="宋体"/>
                <w:sz w:val="24"/>
                <w:lang w:val="zh-CN"/>
              </w:rPr>
              <w:t>注：根据《中华人民共和国政府采购法》的规定，供应商质疑不得超出</w:t>
            </w:r>
            <w:r>
              <w:rPr>
                <w:rFonts w:hint="eastAsia" w:ascii="宋体" w:hAnsi="宋体" w:cs="宋体"/>
                <w:sz w:val="24"/>
              </w:rPr>
              <w:t>公开招标</w:t>
            </w:r>
            <w:r>
              <w:rPr>
                <w:rFonts w:hint="eastAsia" w:ascii="宋体" w:hAnsi="宋体" w:cs="宋体"/>
                <w:sz w:val="24"/>
                <w:lang w:val="zh-CN"/>
              </w:rPr>
              <w:t>文件、</w:t>
            </w:r>
            <w:r>
              <w:rPr>
                <w:rFonts w:hint="eastAsia" w:ascii="宋体" w:hAnsi="宋体" w:cs="宋体"/>
                <w:sz w:val="24"/>
              </w:rPr>
              <w:t>公开招标</w:t>
            </w:r>
            <w:r>
              <w:rPr>
                <w:rFonts w:hint="eastAsia" w:ascii="宋体" w:hAnsi="宋体" w:cs="宋体"/>
                <w:sz w:val="24"/>
                <w:lang w:val="zh-CN"/>
              </w:rPr>
              <w:t>过程、</w:t>
            </w:r>
            <w:r>
              <w:rPr>
                <w:rFonts w:hint="eastAsia" w:ascii="宋体" w:hAnsi="宋体" w:cs="宋体"/>
                <w:sz w:val="24"/>
              </w:rPr>
              <w:t>公开招标</w:t>
            </w:r>
            <w:r>
              <w:rPr>
                <w:rFonts w:hint="eastAsia" w:ascii="宋体" w:hAnsi="宋体" w:cs="宋体"/>
                <w:sz w:val="24"/>
                <w:lang w:val="zh-CN"/>
              </w:rPr>
              <w:t>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70" w:type="dxa"/>
            <w:tcBorders>
              <w:top w:val="single" w:color="auto" w:sz="8" w:space="0"/>
              <w:left w:val="single" w:color="auto" w:sz="18" w:space="0"/>
              <w:bottom w:val="single" w:color="auto" w:sz="8" w:space="0"/>
              <w:right w:val="single" w:color="auto" w:sz="8" w:space="0"/>
            </w:tcBorders>
            <w:vAlign w:val="center"/>
          </w:tcPr>
          <w:p>
            <w:pPr>
              <w:spacing w:line="312" w:lineRule="auto"/>
              <w:jc w:val="center"/>
              <w:rPr>
                <w:rFonts w:ascii="宋体" w:hAnsi="宋体" w:cs="宋体"/>
                <w:sz w:val="24"/>
              </w:rPr>
            </w:pPr>
          </w:p>
          <w:p>
            <w:pPr>
              <w:spacing w:line="312" w:lineRule="auto"/>
              <w:jc w:val="center"/>
              <w:rPr>
                <w:rFonts w:ascii="宋体" w:hAnsi="宋体" w:cs="宋体"/>
                <w:sz w:val="24"/>
              </w:rPr>
            </w:pPr>
            <w:r>
              <w:rPr>
                <w:rFonts w:hint="eastAsia" w:ascii="宋体" w:hAnsi="宋体" w:cs="宋体"/>
                <w:sz w:val="24"/>
              </w:rPr>
              <w:t>23</w:t>
            </w:r>
          </w:p>
        </w:tc>
        <w:tc>
          <w:tcPr>
            <w:tcW w:w="2652" w:type="dxa"/>
            <w:tcBorders>
              <w:top w:val="single" w:color="auto" w:sz="8" w:space="0"/>
              <w:left w:val="single" w:color="auto" w:sz="8" w:space="0"/>
              <w:bottom w:val="single" w:color="auto" w:sz="8" w:space="0"/>
              <w:right w:val="single" w:color="auto" w:sz="8" w:space="0"/>
            </w:tcBorders>
            <w:vAlign w:val="center"/>
          </w:tcPr>
          <w:p>
            <w:pPr>
              <w:spacing w:line="312" w:lineRule="auto"/>
              <w:jc w:val="center"/>
              <w:rPr>
                <w:rFonts w:ascii="宋体" w:hAnsi="宋体" w:cs="宋体"/>
                <w:sz w:val="24"/>
                <w:lang w:eastAsia="en-US"/>
              </w:rPr>
            </w:pPr>
          </w:p>
          <w:p>
            <w:pPr>
              <w:spacing w:line="312" w:lineRule="auto"/>
              <w:jc w:val="center"/>
              <w:rPr>
                <w:rFonts w:ascii="宋体" w:hAnsi="宋体" w:cs="宋体"/>
                <w:sz w:val="24"/>
                <w:lang w:val="zh-CN"/>
              </w:rPr>
            </w:pPr>
            <w:r>
              <w:rPr>
                <w:rFonts w:hint="eastAsia" w:ascii="宋体" w:hAnsi="宋体" w:cs="宋体"/>
                <w:sz w:val="24"/>
                <w:lang w:eastAsia="en-US"/>
              </w:rPr>
              <w:t>代理服务费</w:t>
            </w:r>
          </w:p>
        </w:tc>
        <w:tc>
          <w:tcPr>
            <w:tcW w:w="6084" w:type="dxa"/>
            <w:tcBorders>
              <w:top w:val="single" w:color="auto" w:sz="8" w:space="0"/>
              <w:left w:val="single" w:color="auto" w:sz="8" w:space="0"/>
              <w:bottom w:val="single" w:color="auto" w:sz="8" w:space="0"/>
              <w:right w:val="single" w:color="auto" w:sz="18" w:space="0"/>
            </w:tcBorders>
          </w:tcPr>
          <w:p>
            <w:pPr>
              <w:pStyle w:val="118"/>
              <w:spacing w:line="312" w:lineRule="auto"/>
              <w:jc w:val="both"/>
              <w:rPr>
                <w:rFonts w:cs="宋体"/>
                <w:lang w:val="zh-CN"/>
              </w:rPr>
            </w:pPr>
            <w:r>
              <w:rPr>
                <w:rFonts w:hint="eastAsia"/>
                <w:color w:val="000000"/>
                <w:lang w:val="zh-CN"/>
              </w:rPr>
              <w:t>1.根据《政府采购代理机构管理暂行办法》(财库〔2018〕2 号)第十五条、四川省财政厅关于印发《四川省政府采购营商环境指标提升专项行动工作方案》的通知 川财采〔2020〕74 号文件规定以及招标代理委托协议约定，本项目招标代理服务费由中标人支付。</w:t>
            </w:r>
          </w:p>
        </w:tc>
      </w:tr>
    </w:tbl>
    <w:p>
      <w:pPr>
        <w:pStyle w:val="3"/>
        <w:spacing w:after="20"/>
        <w:ind w:firstLine="321" w:firstLineChars="100"/>
        <w:jc w:val="center"/>
        <w:rPr>
          <w:color w:val="000000"/>
        </w:rPr>
      </w:pPr>
      <w:r>
        <w:rPr>
          <w:rFonts w:hint="eastAsia"/>
          <w:color w:val="000000"/>
        </w:rPr>
        <w:t>二、总  则</w:t>
      </w:r>
      <w:bookmarkEnd w:id="33"/>
      <w:bookmarkEnd w:id="34"/>
      <w:bookmarkEnd w:id="35"/>
      <w:bookmarkEnd w:id="36"/>
      <w:bookmarkEnd w:id="37"/>
      <w:bookmarkEnd w:id="38"/>
      <w:bookmarkEnd w:id="39"/>
      <w:bookmarkEnd w:id="40"/>
    </w:p>
    <w:p>
      <w:pPr>
        <w:spacing w:line="360" w:lineRule="auto"/>
        <w:ind w:firstLine="482" w:firstLineChars="200"/>
        <w:outlineLvl w:val="2"/>
        <w:rPr>
          <w:rFonts w:ascii="宋体" w:hAnsi="宋体"/>
          <w:b/>
          <w:color w:val="000000"/>
          <w:sz w:val="24"/>
        </w:rPr>
      </w:pPr>
      <w:bookmarkStart w:id="45" w:name="_Toc183582205"/>
      <w:bookmarkStart w:id="46" w:name="_Toc183682342"/>
      <w:bookmarkStart w:id="47" w:name="_Toc1115"/>
      <w:bookmarkStart w:id="48" w:name="_Toc217446034"/>
      <w:r>
        <w:rPr>
          <w:rFonts w:hint="eastAsia" w:ascii="宋体" w:hAnsi="宋体"/>
          <w:b/>
          <w:color w:val="000000"/>
          <w:sz w:val="24"/>
        </w:rPr>
        <w:t>1</w:t>
      </w:r>
      <w:r>
        <w:rPr>
          <w:rFonts w:ascii="宋体" w:hAnsi="宋体"/>
          <w:b/>
          <w:color w:val="000000"/>
          <w:sz w:val="24"/>
        </w:rPr>
        <w:t>.</w:t>
      </w:r>
      <w:bookmarkEnd w:id="45"/>
      <w:bookmarkEnd w:id="46"/>
      <w:r>
        <w:rPr>
          <w:rFonts w:hint="eastAsia" w:ascii="宋体" w:hAnsi="宋体"/>
          <w:b/>
          <w:color w:val="000000"/>
          <w:sz w:val="24"/>
        </w:rPr>
        <w:t xml:space="preserve"> 适用范围</w:t>
      </w:r>
      <w:bookmarkEnd w:id="47"/>
      <w:bookmarkEnd w:id="48"/>
    </w:p>
    <w:p>
      <w:pPr>
        <w:tabs>
          <w:tab w:val="left" w:pos="7665"/>
        </w:tabs>
        <w:spacing w:line="360" w:lineRule="auto"/>
        <w:ind w:firstLine="480" w:firstLineChars="200"/>
        <w:rPr>
          <w:rFonts w:asci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 xml:space="preserve">1 </w:t>
      </w:r>
      <w:r>
        <w:rPr>
          <w:rFonts w:hint="eastAsia" w:ascii="宋体"/>
          <w:color w:val="000000"/>
          <w:sz w:val="24"/>
        </w:rPr>
        <w:t>本招标文件仅适用于本次招标采购项目。</w:t>
      </w:r>
    </w:p>
    <w:p>
      <w:pPr>
        <w:spacing w:line="360" w:lineRule="auto"/>
        <w:ind w:firstLine="482" w:firstLineChars="200"/>
        <w:rPr>
          <w:rFonts w:ascii="宋体" w:hAnsi="宋体"/>
          <w:b/>
          <w:color w:val="000000"/>
          <w:sz w:val="24"/>
        </w:rPr>
      </w:pPr>
      <w:bookmarkStart w:id="49" w:name="_Toc183682343"/>
      <w:bookmarkStart w:id="50" w:name="_Toc183582206"/>
      <w:bookmarkStart w:id="51" w:name="_Toc217446035"/>
      <w:bookmarkStart w:id="52" w:name="_Toc1013"/>
      <w:r>
        <w:rPr>
          <w:rFonts w:hint="eastAsia" w:ascii="宋体" w:hAnsi="宋体"/>
          <w:b/>
          <w:color w:val="000000"/>
          <w:sz w:val="24"/>
        </w:rPr>
        <w:t xml:space="preserve">2. </w:t>
      </w:r>
      <w:bookmarkEnd w:id="49"/>
      <w:bookmarkEnd w:id="50"/>
      <w:r>
        <w:rPr>
          <w:rFonts w:hint="eastAsia" w:ascii="宋体" w:hAnsi="宋体"/>
          <w:b/>
          <w:color w:val="000000"/>
          <w:sz w:val="24"/>
        </w:rPr>
        <w:t>有关定义</w:t>
      </w:r>
      <w:bookmarkEnd w:id="51"/>
      <w:bookmarkEnd w:id="52"/>
    </w:p>
    <w:p>
      <w:pPr>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1 “采购人”系指依法进行政府采购的国家机关、事业单位、团体组织。本次招标的采购人是</w:t>
      </w:r>
      <w:r>
        <w:rPr>
          <w:rFonts w:hint="eastAsia" w:ascii="宋体" w:hAnsi="宋体" w:cs="宋体"/>
          <w:sz w:val="24"/>
          <w:u w:val="single"/>
          <w:lang w:eastAsia="zh-CN"/>
        </w:rPr>
        <w:t>高县人民医院</w:t>
      </w:r>
      <w:r>
        <w:rPr>
          <w:rFonts w:hint="eastAsia" w:ascii="宋体" w:hAnsi="宋体"/>
          <w:sz w:val="24"/>
        </w:rPr>
        <w:t>。</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2 “采购代理机构” 系指根据采购人的委托依法办理招标事宜的采购机构。本次招标的采购代理机构是</w:t>
      </w:r>
      <w:r>
        <w:rPr>
          <w:rFonts w:hint="eastAsia"/>
          <w:spacing w:val="-2"/>
          <w:sz w:val="24"/>
          <w:u w:val="single"/>
        </w:rPr>
        <w:t>宜宾麒森建设工程管理有限公司</w:t>
      </w:r>
      <w:r>
        <w:rPr>
          <w:rFonts w:hint="eastAsia" w:ascii="宋体" w:hAnsi="宋体"/>
          <w:bCs/>
          <w:sz w:val="24"/>
          <w:u w:val="single"/>
        </w:rPr>
        <w:t xml:space="preserve"> </w:t>
      </w:r>
      <w:r>
        <w:rPr>
          <w:rFonts w:hint="eastAsia" w:ascii="宋体" w:hAnsi="宋体"/>
          <w:sz w:val="24"/>
        </w:rPr>
        <w:t>。</w:t>
      </w:r>
    </w:p>
    <w:p>
      <w:pPr>
        <w:spacing w:line="360" w:lineRule="auto"/>
        <w:ind w:firstLine="480" w:firstLineChars="200"/>
        <w:rPr>
          <w:rFonts w:ascii="宋体" w:hAnsi="宋体"/>
          <w:color w:val="000000"/>
          <w:sz w:val="24"/>
        </w:rPr>
      </w:pPr>
      <w:r>
        <w:rPr>
          <w:rFonts w:hint="eastAsia" w:ascii="宋体" w:hAnsi="宋体"/>
          <w:color w:val="000000"/>
          <w:sz w:val="24"/>
        </w:rPr>
        <w:t>2.3 “招标采购单位”系指“采购人”和“采购代理机构”的统称。</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4 “投标人”系指购买了招标文件拟参加投标和向采购人提供货物及相应服务的投标人。</w:t>
      </w:r>
    </w:p>
    <w:p>
      <w:pPr>
        <w:spacing w:line="360" w:lineRule="auto"/>
        <w:ind w:firstLine="482" w:firstLineChars="200"/>
        <w:outlineLvl w:val="2"/>
        <w:rPr>
          <w:rFonts w:ascii="宋体" w:hAnsi="宋体"/>
          <w:b/>
          <w:color w:val="000000"/>
          <w:sz w:val="24"/>
        </w:rPr>
      </w:pPr>
      <w:bookmarkStart w:id="53" w:name="_Toc183682344"/>
      <w:bookmarkStart w:id="54" w:name="_Toc21957"/>
      <w:bookmarkStart w:id="55" w:name="_Toc183582207"/>
      <w:bookmarkStart w:id="56" w:name="_Toc217390843"/>
      <w:bookmarkStart w:id="57" w:name="_Toc217446036"/>
      <w:bookmarkStart w:id="58" w:name="_Toc183582209"/>
      <w:bookmarkStart w:id="59" w:name="_Toc217446038"/>
      <w:bookmarkStart w:id="60" w:name="_Toc183682346"/>
      <w:bookmarkStart w:id="61" w:name="_Toc89075875"/>
      <w:bookmarkStart w:id="62" w:name="_Toc77400779"/>
      <w:r>
        <w:rPr>
          <w:rFonts w:hint="eastAsia" w:ascii="宋体" w:hAnsi="宋体"/>
          <w:b/>
          <w:color w:val="000000"/>
          <w:sz w:val="24"/>
        </w:rPr>
        <w:t>3. 合格的投标人</w:t>
      </w:r>
      <w:bookmarkEnd w:id="53"/>
      <w:bookmarkEnd w:id="54"/>
      <w:bookmarkEnd w:id="55"/>
      <w:bookmarkEnd w:id="56"/>
      <w:bookmarkEnd w:id="57"/>
      <w:r>
        <w:rPr>
          <w:rFonts w:hint="eastAsia" w:ascii="宋体" w:hAnsi="宋体"/>
          <w:b/>
          <w:color w:val="000000"/>
          <w:sz w:val="24"/>
        </w:rPr>
        <w:t>（实质性要求）</w:t>
      </w:r>
    </w:p>
    <w:p>
      <w:pPr>
        <w:spacing w:line="360" w:lineRule="auto"/>
        <w:ind w:firstLine="480" w:firstLineChars="200"/>
        <w:rPr>
          <w:rFonts w:ascii="宋体" w:hAnsi="宋体"/>
          <w:color w:val="000000"/>
          <w:sz w:val="24"/>
        </w:rPr>
      </w:pPr>
      <w:r>
        <w:rPr>
          <w:rFonts w:hint="eastAsia" w:ascii="宋体" w:hAnsi="宋体"/>
          <w:color w:val="000000"/>
          <w:sz w:val="24"/>
        </w:rPr>
        <w:t xml:space="preserve"> 合格的投标人应具备以下条件：</w:t>
      </w:r>
    </w:p>
    <w:p>
      <w:pPr>
        <w:spacing w:line="360" w:lineRule="auto"/>
        <w:ind w:firstLine="480" w:firstLineChars="200"/>
        <w:rPr>
          <w:rFonts w:ascii="宋体" w:hAnsi="宋体"/>
          <w:color w:val="000000"/>
          <w:spacing w:val="-4"/>
          <w:sz w:val="24"/>
        </w:rPr>
      </w:pPr>
      <w:bookmarkStart w:id="63" w:name="_Toc183682345"/>
      <w:bookmarkStart w:id="64" w:name="_Toc183582208"/>
      <w:bookmarkStart w:id="65" w:name="_Toc217446037"/>
      <w:r>
        <w:rPr>
          <w:rFonts w:hint="eastAsia" w:ascii="宋体" w:hAnsi="宋体"/>
          <w:color w:val="000000"/>
          <w:sz w:val="24"/>
        </w:rPr>
        <w:t>（1）本招标文件规定的</w:t>
      </w:r>
      <w:r>
        <w:rPr>
          <w:rFonts w:hint="eastAsia" w:ascii="宋体"/>
          <w:color w:val="000000"/>
          <w:sz w:val="24"/>
        </w:rPr>
        <w:t>投标人资格</w:t>
      </w:r>
      <w:r>
        <w:rPr>
          <w:rFonts w:hint="eastAsia" w:ascii="宋体" w:hAnsi="宋体"/>
          <w:color w:val="000000"/>
          <w:sz w:val="24"/>
        </w:rPr>
        <w:t>条件</w:t>
      </w:r>
      <w:r>
        <w:rPr>
          <w:rFonts w:hint="eastAsia" w:ascii="宋体" w:hAnsi="宋体"/>
          <w:color w:val="000000"/>
          <w:spacing w:val="-4"/>
          <w:sz w:val="24"/>
        </w:rPr>
        <w:t>；</w:t>
      </w:r>
    </w:p>
    <w:p>
      <w:pPr>
        <w:spacing w:line="360" w:lineRule="auto"/>
        <w:ind w:firstLine="480" w:firstLineChars="200"/>
        <w:rPr>
          <w:rFonts w:ascii="宋体" w:hAnsi="宋体"/>
          <w:color w:val="000000"/>
          <w:sz w:val="24"/>
        </w:rPr>
      </w:pPr>
      <w:r>
        <w:rPr>
          <w:rFonts w:hint="eastAsia" w:ascii="宋体" w:hAnsi="宋体"/>
          <w:color w:val="000000"/>
          <w:sz w:val="24"/>
        </w:rPr>
        <w:t>（2）遵守国家有关的法律、法规、规章和其他政策制度；</w:t>
      </w:r>
    </w:p>
    <w:p>
      <w:pPr>
        <w:spacing w:line="360" w:lineRule="auto"/>
        <w:ind w:firstLine="480" w:firstLineChars="200"/>
        <w:rPr>
          <w:rFonts w:ascii="宋体" w:hAnsi="宋体"/>
          <w:color w:val="000000"/>
          <w:sz w:val="24"/>
        </w:rPr>
      </w:pPr>
      <w:r>
        <w:rPr>
          <w:rFonts w:hint="eastAsia" w:ascii="宋体" w:hAnsi="宋体"/>
          <w:color w:val="000000"/>
          <w:sz w:val="24"/>
        </w:rPr>
        <w:t>（3）</w:t>
      </w:r>
      <w:r>
        <w:rPr>
          <w:rFonts w:hint="eastAsia" w:ascii="宋体" w:hAnsi="宋体" w:cs="宋体"/>
          <w:color w:val="000000"/>
          <w:sz w:val="24"/>
        </w:rPr>
        <w:t>已在代理机构报名、登记</w:t>
      </w:r>
      <w:r>
        <w:rPr>
          <w:rFonts w:hint="eastAsia" w:ascii="宋体" w:hAnsi="宋体"/>
          <w:color w:val="000000"/>
          <w:sz w:val="24"/>
        </w:rPr>
        <w:t>。</w:t>
      </w:r>
    </w:p>
    <w:p>
      <w:pPr>
        <w:spacing w:line="360" w:lineRule="auto"/>
        <w:ind w:firstLine="482" w:firstLineChars="200"/>
        <w:outlineLvl w:val="2"/>
        <w:rPr>
          <w:rFonts w:ascii="宋体" w:hAnsi="宋体"/>
          <w:b/>
          <w:color w:val="000000"/>
          <w:sz w:val="24"/>
        </w:rPr>
      </w:pPr>
      <w:bookmarkStart w:id="66" w:name="_Toc442099352"/>
      <w:bookmarkStart w:id="67" w:name="_Toc16874"/>
      <w:bookmarkStart w:id="68" w:name="_Toc441679464"/>
      <w:bookmarkStart w:id="69" w:name="_Toc439679218"/>
      <w:bookmarkStart w:id="70" w:name="_Toc441921240"/>
      <w:bookmarkStart w:id="71" w:name="_Toc308164786"/>
      <w:r>
        <w:rPr>
          <w:rFonts w:hint="eastAsia" w:ascii="宋体" w:hAnsi="宋体"/>
          <w:b/>
          <w:color w:val="000000"/>
          <w:sz w:val="24"/>
        </w:rPr>
        <w:t>4. 投标费用（实质性要求）</w:t>
      </w:r>
    </w:p>
    <w:p>
      <w:pPr>
        <w:tabs>
          <w:tab w:val="left" w:pos="7665"/>
        </w:tabs>
        <w:spacing w:line="360" w:lineRule="auto"/>
        <w:ind w:firstLine="480"/>
        <w:rPr>
          <w:rFonts w:ascii="宋体"/>
          <w:color w:val="000000"/>
          <w:sz w:val="24"/>
        </w:rPr>
      </w:pPr>
      <w:r>
        <w:rPr>
          <w:rFonts w:hint="eastAsia" w:ascii="宋体"/>
          <w:color w:val="000000"/>
          <w:sz w:val="24"/>
        </w:rPr>
        <w:t>投标人参加投标的有关所有费用由投标人自行承担。</w:t>
      </w:r>
    </w:p>
    <w:bookmarkEnd w:id="63"/>
    <w:bookmarkEnd w:id="64"/>
    <w:bookmarkEnd w:id="65"/>
    <w:bookmarkEnd w:id="66"/>
    <w:bookmarkEnd w:id="67"/>
    <w:bookmarkEnd w:id="68"/>
    <w:bookmarkEnd w:id="69"/>
    <w:bookmarkEnd w:id="70"/>
    <w:bookmarkEnd w:id="71"/>
    <w:p>
      <w:pPr>
        <w:spacing w:line="360" w:lineRule="auto"/>
        <w:ind w:firstLine="482" w:firstLineChars="200"/>
        <w:outlineLvl w:val="2"/>
        <w:rPr>
          <w:rFonts w:ascii="宋体" w:hAnsi="宋体"/>
          <w:b/>
          <w:color w:val="000000"/>
          <w:sz w:val="24"/>
        </w:rPr>
      </w:pPr>
      <w:r>
        <w:rPr>
          <w:rFonts w:hint="eastAsia" w:ascii="宋体" w:hAnsi="宋体"/>
          <w:b/>
          <w:color w:val="000000"/>
          <w:sz w:val="24"/>
        </w:rPr>
        <w:t>5.充分、公平竞争保障措施（实质性要求）</w:t>
      </w:r>
    </w:p>
    <w:p>
      <w:pPr>
        <w:spacing w:line="360" w:lineRule="auto"/>
        <w:ind w:firstLine="482" w:firstLineChars="200"/>
        <w:rPr>
          <w:rFonts w:ascii="宋体" w:hAnsi="宋体"/>
          <w:b/>
          <w:bCs/>
          <w:color w:val="000000"/>
          <w:sz w:val="24"/>
        </w:rPr>
      </w:pPr>
      <w:bookmarkStart w:id="72" w:name="_Toc421005878"/>
      <w:bookmarkStart w:id="73" w:name="_Toc14991"/>
      <w:bookmarkStart w:id="74" w:name="_Toc5390"/>
      <w:r>
        <w:rPr>
          <w:rFonts w:hint="eastAsia" w:ascii="宋体" w:hAnsi="宋体"/>
          <w:b/>
          <w:bCs/>
          <w:color w:val="000000"/>
          <w:sz w:val="24"/>
        </w:rPr>
        <w:t>5.1利害关系投标人处理。</w:t>
      </w:r>
    </w:p>
    <w:p>
      <w:pPr>
        <w:spacing w:line="360" w:lineRule="auto"/>
        <w:ind w:firstLine="480" w:firstLineChars="200"/>
        <w:rPr>
          <w:rFonts w:ascii="宋体" w:hAnsi="宋体"/>
          <w:color w:val="000000"/>
          <w:sz w:val="24"/>
        </w:rPr>
      </w:pPr>
      <w:r>
        <w:rPr>
          <w:rFonts w:hint="eastAsia" w:ascii="宋体" w:hAnsi="宋体"/>
          <w:color w:val="000000"/>
          <w:sz w:val="24"/>
        </w:rPr>
        <w:t>单位负责人为同一人或者存在直接控股、管理关系的不同投标人不得参加同一合同项下的政府采购活动。采购项目实行资格预审的，单位负责人为同一人或者存在直接控股、管理关系的不同投标人可以参加资格预审，但只能选择其中一家符合条件的投标人参加后续的政府采购活动。</w:t>
      </w:r>
    </w:p>
    <w:p>
      <w:pPr>
        <w:spacing w:line="360" w:lineRule="auto"/>
        <w:ind w:firstLine="482" w:firstLineChars="200"/>
        <w:rPr>
          <w:rFonts w:ascii="宋体" w:hAnsi="宋体"/>
          <w:b/>
          <w:bCs/>
          <w:color w:val="000000"/>
          <w:sz w:val="24"/>
        </w:rPr>
      </w:pPr>
      <w:r>
        <w:rPr>
          <w:rFonts w:hint="eastAsia" w:ascii="宋体" w:hAnsi="宋体"/>
          <w:b/>
          <w:bCs/>
          <w:color w:val="000000"/>
          <w:sz w:val="24"/>
        </w:rPr>
        <w:t>5.2前期参与投标人处理。</w:t>
      </w:r>
    </w:p>
    <w:p>
      <w:pPr>
        <w:spacing w:line="360" w:lineRule="auto"/>
        <w:ind w:firstLine="480" w:firstLineChars="200"/>
        <w:rPr>
          <w:rFonts w:ascii="宋体" w:hAnsi="宋体"/>
          <w:color w:val="000000"/>
          <w:sz w:val="24"/>
        </w:rPr>
      </w:pPr>
      <w:r>
        <w:rPr>
          <w:rFonts w:hint="eastAsia" w:ascii="宋体" w:hAnsi="宋体"/>
          <w:color w:val="000000"/>
          <w:sz w:val="24"/>
        </w:rPr>
        <w:t>为采购项目提供整体设计、规范编制或者项目管理、监理、检测等服务的投标人，不得再参加该采购项目的其他采购活动。投标人为采购人、采购代理机构在确定采购需求、编制采购文件过程中提供咨询论证，其提供的咨询论证意见成为采购文件中规定的投标人资格条件、技术服务商务要求、评标因素和标准、政府采购合同等实质性内容条款的，视同为采购项目提供规范编制。</w:t>
      </w:r>
    </w:p>
    <w:p>
      <w:pPr>
        <w:spacing w:line="360" w:lineRule="auto"/>
        <w:ind w:firstLine="482" w:firstLineChars="200"/>
        <w:rPr>
          <w:rFonts w:ascii="宋体" w:hAnsi="宋体"/>
          <w:b/>
          <w:bCs/>
          <w:color w:val="000000"/>
          <w:sz w:val="24"/>
        </w:rPr>
      </w:pPr>
      <w:r>
        <w:rPr>
          <w:rFonts w:hint="eastAsia" w:ascii="宋体" w:hAnsi="宋体"/>
          <w:b/>
          <w:bCs/>
          <w:color w:val="000000"/>
          <w:sz w:val="24"/>
        </w:rPr>
        <w:t>5.3 利害关系代理人处理。</w:t>
      </w:r>
    </w:p>
    <w:p>
      <w:pPr>
        <w:spacing w:line="360" w:lineRule="auto"/>
        <w:ind w:firstLine="480" w:firstLineChars="200"/>
        <w:rPr>
          <w:rFonts w:ascii="宋体" w:hAnsi="宋体"/>
          <w:color w:val="000000"/>
          <w:sz w:val="24"/>
        </w:rPr>
      </w:pPr>
      <w:r>
        <w:rPr>
          <w:rFonts w:hint="eastAsia" w:ascii="宋体" w:hAnsi="宋体"/>
          <w:color w:val="000000"/>
          <w:sz w:val="24"/>
        </w:rPr>
        <w:t>2家以上的投标人不得在同一合同项下的采购项目中，同时委托同一个自然人、同一家庭的人员、同一单位的人员作为其代理人，否则，其投标文件作为无效处理。</w:t>
      </w:r>
    </w:p>
    <w:p>
      <w:pPr>
        <w:spacing w:line="360" w:lineRule="auto"/>
        <w:ind w:firstLine="482" w:firstLineChars="200"/>
        <w:rPr>
          <w:rFonts w:ascii="宋体" w:hAnsi="宋体"/>
          <w:color w:val="000000"/>
          <w:sz w:val="24"/>
        </w:rPr>
      </w:pPr>
      <w:r>
        <w:rPr>
          <w:rFonts w:hint="eastAsia" w:ascii="宋体" w:hAnsi="宋体"/>
          <w:b/>
          <w:bCs/>
          <w:color w:val="000000"/>
          <w:sz w:val="24"/>
        </w:rPr>
        <w:t>5.4 有下列情形之一的，视为投标人串通投标，其投标无效：</w:t>
      </w:r>
    </w:p>
    <w:p>
      <w:pPr>
        <w:spacing w:line="360" w:lineRule="auto"/>
        <w:ind w:firstLine="480" w:firstLineChars="200"/>
        <w:rPr>
          <w:rFonts w:ascii="宋体" w:hAnsi="宋体"/>
          <w:color w:val="000000"/>
          <w:sz w:val="24"/>
        </w:rPr>
      </w:pPr>
      <w:r>
        <w:rPr>
          <w:rFonts w:hint="eastAsia" w:ascii="宋体" w:hAnsi="宋体"/>
          <w:color w:val="000000"/>
          <w:sz w:val="24"/>
        </w:rPr>
        <w:t>（一）不同投标人的投标文件由同一单位或者个人编制;</w:t>
      </w:r>
    </w:p>
    <w:p>
      <w:pPr>
        <w:spacing w:line="360" w:lineRule="auto"/>
        <w:ind w:firstLine="480" w:firstLineChars="200"/>
        <w:rPr>
          <w:rFonts w:ascii="宋体" w:hAnsi="宋体"/>
          <w:color w:val="000000"/>
          <w:sz w:val="24"/>
        </w:rPr>
      </w:pPr>
      <w:r>
        <w:rPr>
          <w:rFonts w:hint="eastAsia" w:ascii="宋体" w:hAnsi="宋体"/>
          <w:color w:val="000000"/>
          <w:sz w:val="24"/>
        </w:rPr>
        <w:t>（二）不同投标人委托同一单位或者个人办理投标事宜;</w:t>
      </w:r>
    </w:p>
    <w:p>
      <w:pPr>
        <w:spacing w:line="360" w:lineRule="auto"/>
        <w:ind w:firstLine="480" w:firstLineChars="200"/>
        <w:rPr>
          <w:rFonts w:ascii="宋体" w:hAnsi="宋体"/>
          <w:color w:val="000000"/>
          <w:sz w:val="24"/>
        </w:rPr>
      </w:pPr>
      <w:r>
        <w:rPr>
          <w:rFonts w:hint="eastAsia" w:ascii="宋体" w:hAnsi="宋体"/>
          <w:color w:val="000000"/>
          <w:sz w:val="24"/>
        </w:rPr>
        <w:t>（三）不同投标人的投标文件载明的项目管理成员或者联系人员为同一人;</w:t>
      </w:r>
    </w:p>
    <w:p>
      <w:pPr>
        <w:spacing w:line="360" w:lineRule="auto"/>
        <w:ind w:firstLine="480" w:firstLineChars="200"/>
        <w:rPr>
          <w:rFonts w:ascii="宋体" w:hAnsi="宋体"/>
          <w:color w:val="000000"/>
          <w:sz w:val="24"/>
        </w:rPr>
      </w:pPr>
      <w:r>
        <w:rPr>
          <w:rFonts w:hint="eastAsia" w:ascii="宋体" w:hAnsi="宋体"/>
          <w:color w:val="000000"/>
          <w:sz w:val="24"/>
        </w:rPr>
        <w:t>（四）不同投标人的投标文件异常一致或者投标报价呈规律性差异;</w:t>
      </w:r>
    </w:p>
    <w:p>
      <w:pPr>
        <w:spacing w:line="360" w:lineRule="auto"/>
        <w:ind w:firstLine="480" w:firstLineChars="200"/>
        <w:rPr>
          <w:rFonts w:ascii="宋体" w:hAnsi="宋体"/>
          <w:color w:val="000000"/>
          <w:sz w:val="24"/>
        </w:rPr>
      </w:pPr>
      <w:r>
        <w:rPr>
          <w:rFonts w:hint="eastAsia" w:ascii="宋体" w:hAnsi="宋体"/>
          <w:color w:val="000000"/>
          <w:sz w:val="24"/>
        </w:rPr>
        <w:t>（五）不同投标人的投标文件相互混装。</w:t>
      </w:r>
    </w:p>
    <w:p>
      <w:pPr>
        <w:adjustRightInd w:val="0"/>
        <w:spacing w:line="360" w:lineRule="auto"/>
        <w:ind w:firstLine="480" w:firstLineChars="200"/>
        <w:textAlignment w:val="baseline"/>
        <w:rPr>
          <w:rFonts w:ascii="宋体" w:hAnsi="宋体" w:cs="宋体"/>
          <w:color w:val="000000"/>
          <w:sz w:val="24"/>
        </w:rPr>
      </w:pPr>
      <w:r>
        <w:rPr>
          <w:rFonts w:hint="eastAsia" w:ascii="宋体" w:hAnsi="宋体" w:cs="宋体"/>
          <w:color w:val="000000"/>
          <w:sz w:val="24"/>
        </w:rPr>
        <w:t>评审过程中发现串通投标的可由评审小组或评标委员会认定和书面报告，其他环节出现或评审过程中未发现而在监督检查、质疑或投诉处理中发现的由政府采购监管部门认定，还可通过司法途径认定。</w:t>
      </w:r>
    </w:p>
    <w:p>
      <w:pPr>
        <w:pStyle w:val="21"/>
        <w:rPr>
          <w:color w:val="000000"/>
        </w:rPr>
      </w:pPr>
    </w:p>
    <w:bookmarkEnd w:id="58"/>
    <w:bookmarkEnd w:id="59"/>
    <w:bookmarkEnd w:id="60"/>
    <w:bookmarkEnd w:id="61"/>
    <w:bookmarkEnd w:id="62"/>
    <w:bookmarkEnd w:id="72"/>
    <w:bookmarkEnd w:id="73"/>
    <w:bookmarkEnd w:id="74"/>
    <w:p>
      <w:pPr>
        <w:pStyle w:val="3"/>
        <w:spacing w:after="20"/>
        <w:ind w:firstLine="643"/>
        <w:jc w:val="center"/>
        <w:rPr>
          <w:color w:val="000000"/>
        </w:rPr>
      </w:pPr>
      <w:bookmarkStart w:id="75" w:name="_Toc183682347"/>
      <w:bookmarkStart w:id="76" w:name="_Toc32745"/>
      <w:bookmarkStart w:id="77" w:name="_Toc183582210"/>
      <w:bookmarkStart w:id="78" w:name="_Toc217446039"/>
      <w:r>
        <w:rPr>
          <w:rFonts w:hint="eastAsia"/>
          <w:color w:val="000000"/>
        </w:rPr>
        <w:t>三、招标文件</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6．招标文件的构成</w:t>
      </w:r>
      <w:bookmarkEnd w:id="75"/>
      <w:bookmarkEnd w:id="76"/>
      <w:bookmarkEnd w:id="77"/>
      <w:bookmarkEnd w:id="78"/>
    </w:p>
    <w:p>
      <w:pPr>
        <w:spacing w:line="360" w:lineRule="auto"/>
        <w:ind w:firstLine="480" w:firstLineChars="200"/>
        <w:rPr>
          <w:rFonts w:ascii="宋体" w:hAnsi="宋体"/>
          <w:color w:val="000000"/>
          <w:sz w:val="24"/>
        </w:rPr>
      </w:pPr>
      <w:r>
        <w:rPr>
          <w:rFonts w:hint="eastAsia" w:ascii="宋体" w:hAnsi="宋体"/>
          <w:color w:val="000000"/>
          <w:sz w:val="24"/>
        </w:rPr>
        <w:t>6.1 招标文件是投标人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spacing w:line="360" w:lineRule="auto"/>
        <w:ind w:firstLine="480" w:firstLineChars="200"/>
        <w:rPr>
          <w:rFonts w:ascii="宋体" w:hAnsi="宋体"/>
          <w:color w:val="000000"/>
          <w:sz w:val="24"/>
        </w:rPr>
      </w:pPr>
      <w:r>
        <w:rPr>
          <w:rFonts w:hint="eastAsia" w:ascii="宋体" w:hAnsi="宋体"/>
          <w:color w:val="000000"/>
          <w:sz w:val="24"/>
        </w:rPr>
        <w:t>（一）投标邀请；</w:t>
      </w:r>
    </w:p>
    <w:p>
      <w:pPr>
        <w:spacing w:line="360" w:lineRule="auto"/>
        <w:ind w:firstLine="480" w:firstLineChars="200"/>
        <w:rPr>
          <w:rFonts w:ascii="宋体" w:hAnsi="宋体"/>
          <w:color w:val="000000"/>
          <w:sz w:val="24"/>
        </w:rPr>
      </w:pPr>
      <w:r>
        <w:rPr>
          <w:rFonts w:hint="eastAsia" w:ascii="宋体" w:hAnsi="宋体"/>
          <w:color w:val="000000"/>
          <w:sz w:val="24"/>
        </w:rPr>
        <w:t>（二）投标人须知及前附表；</w:t>
      </w:r>
    </w:p>
    <w:p>
      <w:pPr>
        <w:spacing w:line="360" w:lineRule="auto"/>
        <w:ind w:firstLine="480" w:firstLineChars="200"/>
        <w:rPr>
          <w:rFonts w:ascii="宋体" w:hAnsi="宋体"/>
          <w:color w:val="000000"/>
          <w:sz w:val="24"/>
        </w:rPr>
      </w:pPr>
      <w:r>
        <w:rPr>
          <w:rFonts w:hint="eastAsia" w:ascii="宋体" w:hAnsi="宋体"/>
          <w:color w:val="000000"/>
          <w:sz w:val="24"/>
        </w:rPr>
        <w:t>（三）投标文件格式要求；</w:t>
      </w:r>
    </w:p>
    <w:p>
      <w:pPr>
        <w:spacing w:line="360" w:lineRule="auto"/>
        <w:ind w:firstLine="480" w:firstLineChars="200"/>
        <w:rPr>
          <w:rFonts w:ascii="宋体" w:hAnsi="宋体"/>
          <w:color w:val="000000"/>
          <w:sz w:val="24"/>
        </w:rPr>
      </w:pPr>
      <w:r>
        <w:rPr>
          <w:rFonts w:hint="eastAsia" w:ascii="宋体" w:hAnsi="宋体"/>
          <w:color w:val="000000"/>
          <w:sz w:val="24"/>
        </w:rPr>
        <w:t>（四）</w:t>
      </w:r>
      <w:r>
        <w:rPr>
          <w:rFonts w:hint="eastAsia" w:ascii="宋体"/>
          <w:color w:val="000000"/>
          <w:sz w:val="24"/>
        </w:rPr>
        <w:t>投标人和投标产品</w:t>
      </w:r>
      <w:r>
        <w:rPr>
          <w:rFonts w:hint="eastAsia" w:ascii="宋体" w:hAnsi="宋体"/>
          <w:color w:val="000000"/>
          <w:sz w:val="24"/>
        </w:rPr>
        <w:t>的资格、资质性及其他类似效力要求；</w:t>
      </w:r>
    </w:p>
    <w:p>
      <w:pPr>
        <w:spacing w:line="360" w:lineRule="auto"/>
        <w:ind w:firstLine="480" w:firstLineChars="200"/>
        <w:rPr>
          <w:rFonts w:ascii="宋体" w:hAnsi="宋体"/>
          <w:color w:val="000000"/>
          <w:sz w:val="24"/>
        </w:rPr>
      </w:pPr>
      <w:r>
        <w:rPr>
          <w:rFonts w:hint="eastAsia" w:ascii="宋体" w:hAnsi="宋体"/>
          <w:color w:val="000000"/>
          <w:sz w:val="24"/>
        </w:rPr>
        <w:t>（五）投标人应当提供的资格、资质性及其他类似效力要求的相关证明材料；</w:t>
      </w:r>
    </w:p>
    <w:p>
      <w:pPr>
        <w:spacing w:line="360" w:lineRule="auto"/>
        <w:ind w:firstLine="480" w:firstLineChars="200"/>
        <w:rPr>
          <w:rFonts w:ascii="宋体" w:hAnsi="宋体"/>
          <w:color w:val="000000"/>
          <w:sz w:val="24"/>
        </w:rPr>
      </w:pPr>
      <w:r>
        <w:rPr>
          <w:rFonts w:hint="eastAsia" w:ascii="宋体" w:hAnsi="宋体"/>
          <w:color w:val="000000"/>
          <w:sz w:val="24"/>
        </w:rPr>
        <w:t>（六）招标项目技术、服务、商务及其他要求；</w:t>
      </w:r>
    </w:p>
    <w:p>
      <w:pPr>
        <w:spacing w:line="360" w:lineRule="auto"/>
        <w:ind w:firstLine="480" w:firstLineChars="200"/>
        <w:rPr>
          <w:rFonts w:ascii="宋体" w:hAnsi="宋体"/>
          <w:color w:val="000000"/>
          <w:sz w:val="24"/>
        </w:rPr>
      </w:pPr>
      <w:r>
        <w:rPr>
          <w:rFonts w:hint="eastAsia" w:ascii="宋体" w:hAnsi="宋体"/>
          <w:color w:val="000000"/>
          <w:sz w:val="24"/>
        </w:rPr>
        <w:t>（七）评标办法；</w:t>
      </w:r>
      <w:r>
        <w:rPr>
          <w:rFonts w:hint="eastAsia" w:ascii="宋体" w:hAnsi="宋体"/>
          <w:color w:val="000000"/>
          <w:sz w:val="24"/>
        </w:rPr>
        <w:tab/>
      </w:r>
    </w:p>
    <w:p>
      <w:pPr>
        <w:spacing w:line="360" w:lineRule="auto"/>
        <w:ind w:firstLine="480" w:firstLineChars="200"/>
        <w:rPr>
          <w:rFonts w:ascii="宋体" w:hAnsi="宋体"/>
          <w:color w:val="000000"/>
          <w:sz w:val="24"/>
        </w:rPr>
      </w:pPr>
      <w:r>
        <w:rPr>
          <w:rFonts w:hint="eastAsia" w:ascii="宋体" w:hAnsi="宋体"/>
          <w:color w:val="000000"/>
          <w:sz w:val="24"/>
        </w:rPr>
        <w:t>（八）政府采购合同（样例）。</w:t>
      </w:r>
    </w:p>
    <w:p>
      <w:pPr>
        <w:spacing w:line="360" w:lineRule="auto"/>
        <w:ind w:firstLine="480" w:firstLineChars="200"/>
        <w:rPr>
          <w:rFonts w:ascii="宋体" w:hAnsi="宋体"/>
          <w:color w:val="000000"/>
          <w:sz w:val="24"/>
        </w:rPr>
      </w:pPr>
      <w:r>
        <w:rPr>
          <w:rFonts w:hint="eastAsia" w:ascii="宋体" w:hAnsi="宋体"/>
          <w:color w:val="000000"/>
          <w:sz w:val="24"/>
        </w:rPr>
        <w:t>6.2 投标人应认真阅读和充分理解招标文件中所有的事项、格式条款和规范要求。投标人没有对招标文件全面做出实质性响应是投标人的风险。没有按照招标文件要求作出实质性响应的投标文件将被拒绝。</w:t>
      </w:r>
    </w:p>
    <w:p>
      <w:pPr>
        <w:spacing w:line="360" w:lineRule="auto"/>
        <w:ind w:firstLine="482" w:firstLineChars="200"/>
        <w:outlineLvl w:val="2"/>
        <w:rPr>
          <w:rFonts w:ascii="宋体" w:hAnsi="宋体"/>
          <w:b/>
          <w:color w:val="000000"/>
          <w:sz w:val="24"/>
        </w:rPr>
      </w:pPr>
      <w:bookmarkStart w:id="79" w:name="_Toc183582211"/>
      <w:bookmarkStart w:id="80" w:name="_Toc183682348"/>
      <w:bookmarkStart w:id="81" w:name="_Toc217446040"/>
      <w:bookmarkStart w:id="82" w:name="_Toc14707"/>
      <w:r>
        <w:rPr>
          <w:rFonts w:hint="eastAsia" w:ascii="宋体" w:hAnsi="宋体"/>
          <w:b/>
          <w:color w:val="000000"/>
          <w:sz w:val="24"/>
        </w:rPr>
        <w:t>7.招标文件的澄清</w:t>
      </w:r>
      <w:bookmarkEnd w:id="79"/>
      <w:bookmarkEnd w:id="80"/>
      <w:r>
        <w:rPr>
          <w:rFonts w:hint="eastAsia" w:ascii="宋体" w:hAnsi="宋体"/>
          <w:b/>
          <w:color w:val="000000"/>
          <w:sz w:val="24"/>
        </w:rPr>
        <w:t>和修改</w:t>
      </w:r>
      <w:bookmarkEnd w:id="81"/>
      <w:bookmarkEnd w:id="82"/>
    </w:p>
    <w:p>
      <w:pPr>
        <w:spacing w:line="360" w:lineRule="auto"/>
        <w:ind w:firstLine="480" w:firstLineChars="200"/>
        <w:rPr>
          <w:rFonts w:ascii="宋体" w:hAnsi="宋体"/>
          <w:color w:val="000000"/>
          <w:sz w:val="24"/>
        </w:rPr>
      </w:pPr>
      <w:bookmarkStart w:id="83" w:name="_Toc208848971"/>
      <w:bookmarkStart w:id="84" w:name="_Toc11059"/>
      <w:bookmarkStart w:id="85" w:name="_Toc217446041"/>
      <w:r>
        <w:rPr>
          <w:rFonts w:hint="eastAsia" w:ascii="宋体" w:hAnsi="宋体"/>
          <w:color w:val="000000"/>
          <w:sz w:val="24"/>
        </w:rPr>
        <w:t>7</w:t>
      </w:r>
      <w:r>
        <w:rPr>
          <w:rFonts w:ascii="宋体" w:hAnsi="宋体"/>
          <w:color w:val="000000"/>
          <w:sz w:val="24"/>
        </w:rPr>
        <w:t>.1</w:t>
      </w:r>
      <w:r>
        <w:rPr>
          <w:rFonts w:hint="eastAsia" w:ascii="宋体" w:hAnsi="宋体"/>
          <w:color w:val="000000"/>
          <w:sz w:val="24"/>
        </w:rPr>
        <w:t xml:space="preserve"> 在投标截止时间前，招标采购单位无论出于何种原因，可以对招标文件进行澄清或者修改。</w:t>
      </w:r>
    </w:p>
    <w:p>
      <w:pPr>
        <w:spacing w:line="360" w:lineRule="auto"/>
        <w:ind w:firstLine="480" w:firstLineChars="200"/>
        <w:rPr>
          <w:rFonts w:ascii="宋体" w:hAnsi="宋体"/>
          <w:color w:val="000000"/>
          <w:sz w:val="24"/>
        </w:rPr>
      </w:pPr>
      <w:r>
        <w:rPr>
          <w:rFonts w:hint="eastAsia" w:ascii="宋体" w:hAnsi="宋体"/>
          <w:color w:val="000000"/>
          <w:sz w:val="24"/>
        </w:rPr>
        <w:t>7</w:t>
      </w:r>
      <w:r>
        <w:rPr>
          <w:rFonts w:ascii="宋体" w:hAnsi="宋体"/>
          <w:color w:val="000000"/>
          <w:sz w:val="24"/>
        </w:rPr>
        <w:t>.2</w:t>
      </w:r>
      <w:r>
        <w:rPr>
          <w:rFonts w:hint="eastAsia" w:ascii="宋体" w:hAnsi="宋体"/>
          <w:color w:val="000000"/>
          <w:sz w:val="24"/>
        </w:rPr>
        <w:t xml:space="preserve"> 招标采购单位对已发出的招标文件进行澄清或者修改，将在招标文件要求的提交投标文件截止时间十五日前进行，并以书面形式将澄清或者修改的内容通知所有购买了招标文件的投标人，同时在</w:t>
      </w:r>
      <w:r>
        <w:rPr>
          <w:rFonts w:hint="eastAsia" w:ascii="宋体" w:hAnsi="宋体"/>
          <w:color w:val="000000"/>
          <w:sz w:val="24"/>
          <w:lang w:eastAsia="zh-CN"/>
        </w:rPr>
        <w:t>中国政府采购网</w:t>
      </w:r>
      <w:r>
        <w:rPr>
          <w:rFonts w:hint="eastAsia" w:ascii="宋体" w:hAnsi="宋体"/>
          <w:color w:val="000000"/>
          <w:sz w:val="24"/>
        </w:rPr>
        <w:t>上发布更正公告。该澄清或者修改的内容为招标文件的组成部分。</w:t>
      </w:r>
    </w:p>
    <w:p>
      <w:pPr>
        <w:tabs>
          <w:tab w:val="left" w:pos="7665"/>
        </w:tabs>
        <w:spacing w:line="360" w:lineRule="auto"/>
        <w:ind w:firstLine="480" w:firstLineChars="200"/>
        <w:rPr>
          <w:rFonts w:ascii="宋体" w:hAnsi="宋体"/>
          <w:color w:val="000000"/>
          <w:sz w:val="24"/>
        </w:rPr>
      </w:pPr>
      <w:r>
        <w:rPr>
          <w:rFonts w:hint="eastAsia" w:ascii="宋体" w:hAnsi="宋体"/>
          <w:color w:val="000000"/>
          <w:sz w:val="24"/>
        </w:rPr>
        <w:t>7.3 投标人认为需要对招标文件进行澄清或者修改的，均应在投标截止日15天前按招标文件中的联系方式，以书面形式向招标采购单位构提出申请，但招标采购单位可以决定是否采纳投标人的申请事项。</w:t>
      </w:r>
    </w:p>
    <w:p>
      <w:pPr>
        <w:spacing w:line="360" w:lineRule="auto"/>
        <w:ind w:firstLine="480" w:firstLineChars="200"/>
        <w:rPr>
          <w:rFonts w:ascii="宋体" w:hAnsi="宋体"/>
          <w:b/>
          <w:color w:val="000000"/>
          <w:sz w:val="24"/>
        </w:rPr>
      </w:pPr>
      <w:r>
        <w:rPr>
          <w:rFonts w:hint="eastAsia" w:ascii="宋体" w:hAnsi="宋体"/>
          <w:color w:val="000000"/>
          <w:sz w:val="24"/>
        </w:rPr>
        <w:t>7.4 在投标截止时间前，招标采购单位可以视采购具体情况，延长投标截止时间和开标时间，并在招标文件要求提交投标文件的截止时间三日前，将变更时间以书面形式通知所有购买</w:t>
      </w:r>
      <w:r>
        <w:rPr>
          <w:rFonts w:hint="eastAsia" w:ascii="宋体" w:hAnsi="宋体"/>
          <w:bCs/>
          <w:color w:val="000000"/>
          <w:sz w:val="24"/>
        </w:rPr>
        <w:t>了招标文件的投标人，</w:t>
      </w:r>
      <w:r>
        <w:rPr>
          <w:rFonts w:hint="eastAsia" w:ascii="宋体" w:hAnsi="宋体"/>
          <w:bCs/>
          <w:sz w:val="24"/>
        </w:rPr>
        <w:t>同时在</w:t>
      </w:r>
      <w:r>
        <w:rPr>
          <w:rFonts w:hint="eastAsia" w:ascii="宋体" w:hAnsi="宋体"/>
          <w:color w:val="000000"/>
          <w:sz w:val="24"/>
          <w:lang w:eastAsia="zh-CN"/>
        </w:rPr>
        <w:t>中国政府采购网(www.ccgp.gov.cn)</w:t>
      </w:r>
      <w:r>
        <w:rPr>
          <w:rFonts w:hint="eastAsia" w:hAnsi="宋体" w:cs="宋体"/>
          <w:bCs/>
          <w:sz w:val="24"/>
        </w:rPr>
        <w:t>平台</w:t>
      </w:r>
      <w:r>
        <w:rPr>
          <w:rFonts w:hint="eastAsia" w:ascii="宋体" w:hAnsi="宋体"/>
          <w:bCs/>
          <w:sz w:val="24"/>
        </w:rPr>
        <w:t>上发布变更公告。</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8. 答疑会和现场考察</w:t>
      </w:r>
      <w:bookmarkEnd w:id="83"/>
      <w:bookmarkEnd w:id="84"/>
      <w:bookmarkEnd w:id="85"/>
    </w:p>
    <w:p>
      <w:pPr>
        <w:adjustRightInd w:val="0"/>
        <w:spacing w:line="360" w:lineRule="auto"/>
        <w:ind w:firstLine="480" w:firstLineChars="200"/>
        <w:textAlignment w:val="baseline"/>
        <w:rPr>
          <w:rFonts w:ascii="宋体" w:hAnsi="宋体" w:cs="宋体"/>
          <w:color w:val="000000"/>
          <w:sz w:val="24"/>
        </w:rPr>
      </w:pPr>
      <w:r>
        <w:rPr>
          <w:rFonts w:hint="eastAsia" w:ascii="宋体" w:hAnsi="宋体"/>
          <w:color w:val="000000"/>
          <w:sz w:val="24"/>
        </w:rPr>
        <w:t xml:space="preserve">8.1 </w:t>
      </w:r>
      <w:r>
        <w:rPr>
          <w:rFonts w:hint="eastAsia" w:ascii="宋体" w:hAnsi="宋体" w:cs="宋体"/>
          <w:color w:val="000000"/>
          <w:sz w:val="24"/>
        </w:rPr>
        <w:t>根据采购项目和具体情况，招标采购单位认为有必要，可以在招标文件提供期限截止后，组织已获取招标文件的潜在投标人现场考察或者召开开标前答疑会。组织现场考察或者召开答疑会的，以公告形式发布通知所有获取招标文件的潜在投标人。</w:t>
      </w:r>
    </w:p>
    <w:p>
      <w:pPr>
        <w:spacing w:line="360" w:lineRule="auto"/>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w:t>
      </w:r>
      <w:r>
        <w:rPr>
          <w:rFonts w:hint="eastAsia" w:ascii="宋体" w:hAnsi="宋体"/>
          <w:color w:val="000000"/>
          <w:sz w:val="24"/>
        </w:rPr>
        <w:t>2 投标人考察现场所发生的一切费用由投标人自己承担。</w:t>
      </w:r>
    </w:p>
    <w:p>
      <w:pPr>
        <w:adjustRightInd w:val="0"/>
        <w:snapToGrid w:val="0"/>
        <w:spacing w:line="360" w:lineRule="auto"/>
        <w:ind w:firstLine="489" w:firstLineChars="204"/>
        <w:rPr>
          <w:rFonts w:ascii="宋体" w:hAnsi="宋体"/>
          <w:color w:val="000000"/>
          <w:sz w:val="24"/>
        </w:rPr>
      </w:pPr>
      <w:r>
        <w:rPr>
          <w:rFonts w:hint="eastAsia" w:ascii="宋体" w:hAnsi="宋体"/>
          <w:color w:val="000000"/>
          <w:sz w:val="24"/>
        </w:rPr>
        <w:t>8</w:t>
      </w:r>
      <w:r>
        <w:rPr>
          <w:rFonts w:ascii="宋体" w:hAnsi="宋体"/>
          <w:color w:val="000000"/>
          <w:sz w:val="24"/>
        </w:rPr>
        <w:t>.</w:t>
      </w:r>
      <w:r>
        <w:rPr>
          <w:rFonts w:hint="eastAsia" w:ascii="宋体" w:hAnsi="宋体"/>
          <w:color w:val="000000"/>
          <w:sz w:val="24"/>
        </w:rPr>
        <w:t>3无标前答疑。</w:t>
      </w:r>
    </w:p>
    <w:p>
      <w:pPr>
        <w:pStyle w:val="3"/>
        <w:spacing w:after="20"/>
        <w:jc w:val="center"/>
        <w:rPr>
          <w:color w:val="000000"/>
        </w:rPr>
      </w:pPr>
      <w:bookmarkStart w:id="86" w:name="_Toc77400780"/>
      <w:bookmarkStart w:id="87" w:name="_Toc421005879"/>
      <w:bookmarkStart w:id="88" w:name="_Toc183582214"/>
      <w:bookmarkStart w:id="89" w:name="_Toc5323"/>
      <w:bookmarkStart w:id="90" w:name="_Toc217446042"/>
      <w:bookmarkStart w:id="91" w:name="_Toc30497"/>
      <w:bookmarkStart w:id="92" w:name="_Toc183682351"/>
      <w:bookmarkStart w:id="93" w:name="_Toc89075876"/>
      <w:r>
        <w:rPr>
          <w:rFonts w:hint="eastAsia"/>
          <w:color w:val="000000"/>
        </w:rPr>
        <w:t>四、投标文件</w:t>
      </w:r>
      <w:bookmarkEnd w:id="86"/>
      <w:bookmarkEnd w:id="87"/>
      <w:bookmarkEnd w:id="88"/>
      <w:bookmarkEnd w:id="89"/>
      <w:bookmarkEnd w:id="90"/>
      <w:bookmarkEnd w:id="91"/>
      <w:bookmarkEnd w:id="92"/>
      <w:bookmarkEnd w:id="93"/>
    </w:p>
    <w:p>
      <w:pPr>
        <w:spacing w:line="360" w:lineRule="auto"/>
        <w:ind w:firstLine="482" w:firstLineChars="200"/>
        <w:outlineLvl w:val="2"/>
        <w:rPr>
          <w:rFonts w:ascii="宋体" w:hAnsi="宋体"/>
          <w:b/>
          <w:color w:val="000000"/>
          <w:sz w:val="24"/>
        </w:rPr>
      </w:pPr>
      <w:bookmarkStart w:id="94" w:name="_Toc183582215"/>
      <w:bookmarkStart w:id="95" w:name="_Toc3500"/>
      <w:bookmarkStart w:id="96" w:name="_Toc183682352"/>
      <w:bookmarkStart w:id="97" w:name="_Toc217446043"/>
      <w:r>
        <w:rPr>
          <w:rFonts w:hint="eastAsia" w:ascii="宋体" w:hAnsi="宋体"/>
          <w:b/>
          <w:color w:val="000000"/>
          <w:sz w:val="24"/>
        </w:rPr>
        <w:t>9．投标文件的语言</w:t>
      </w:r>
      <w:bookmarkEnd w:id="94"/>
      <w:bookmarkEnd w:id="95"/>
      <w:bookmarkEnd w:id="96"/>
      <w:bookmarkEnd w:id="97"/>
    </w:p>
    <w:p>
      <w:pPr>
        <w:spacing w:line="360" w:lineRule="auto"/>
        <w:ind w:firstLine="468" w:firstLineChars="195"/>
        <w:rPr>
          <w:rFonts w:ascii="宋体"/>
          <w:color w:val="000000"/>
          <w:sz w:val="24"/>
        </w:rPr>
      </w:pPr>
      <w:r>
        <w:rPr>
          <w:rFonts w:hint="eastAsia" w:ascii="宋体"/>
          <w:color w:val="000000"/>
          <w:sz w:val="24"/>
        </w:rPr>
        <w:t>9.1 投标人提交的投标文件以及投标人与招标采购单位就有关投标的所有来往书面 文件均须使用中文。投标文件中如附有外文资料，应对应翻译成中文并加盖投标人公章后附在相关外文资料后面，否则，视为未提供该资料。（说明：投标人的法定代表人为外籍人士的，法定代表人的签字和护照除外。）</w:t>
      </w:r>
    </w:p>
    <w:p>
      <w:pPr>
        <w:spacing w:line="360" w:lineRule="auto"/>
        <w:ind w:firstLine="468" w:firstLineChars="195"/>
        <w:rPr>
          <w:rFonts w:ascii="宋体"/>
          <w:color w:val="000000"/>
          <w:sz w:val="24"/>
        </w:rPr>
      </w:pPr>
      <w:r>
        <w:rPr>
          <w:rFonts w:hint="eastAsia" w:ascii="宋体"/>
          <w:color w:val="000000"/>
          <w:sz w:val="24"/>
        </w:rPr>
        <w:t xml:space="preserve"> 9.2 翻译的中文资料与外文资料如果出现差异和矛盾时，以中文为准。涉嫌虚假响应的按照相关法律法规处理。</w:t>
      </w:r>
    </w:p>
    <w:p>
      <w:pPr>
        <w:spacing w:line="360" w:lineRule="auto"/>
        <w:ind w:firstLine="482" w:firstLineChars="200"/>
        <w:outlineLvl w:val="2"/>
        <w:rPr>
          <w:rFonts w:ascii="宋体" w:hAnsi="宋体"/>
          <w:b/>
          <w:color w:val="000000"/>
          <w:sz w:val="24"/>
        </w:rPr>
      </w:pPr>
      <w:bookmarkStart w:id="98" w:name="_Toc217446044"/>
      <w:bookmarkStart w:id="99" w:name="_Toc27511"/>
      <w:bookmarkStart w:id="100" w:name="_Toc183582216"/>
      <w:bookmarkStart w:id="101" w:name="_Toc183682353"/>
      <w:r>
        <w:rPr>
          <w:rFonts w:hint="eastAsia" w:ascii="宋体" w:hAnsi="宋体"/>
          <w:b/>
          <w:color w:val="000000"/>
          <w:sz w:val="24"/>
        </w:rPr>
        <w:t>10．计量单位</w:t>
      </w:r>
      <w:bookmarkEnd w:id="98"/>
      <w:bookmarkEnd w:id="99"/>
      <w:bookmarkEnd w:id="100"/>
      <w:bookmarkEnd w:id="101"/>
      <w:r>
        <w:rPr>
          <w:rFonts w:hint="eastAsia" w:ascii="宋体" w:hAnsi="宋体"/>
          <w:b/>
          <w:color w:val="000000"/>
          <w:sz w:val="24"/>
        </w:rPr>
        <w:t>（实质性要求）</w:t>
      </w:r>
    </w:p>
    <w:p>
      <w:pPr>
        <w:spacing w:line="360" w:lineRule="auto"/>
        <w:ind w:firstLine="480" w:firstLineChars="200"/>
        <w:rPr>
          <w:rFonts w:ascii="宋体" w:hAnsi="宋体"/>
          <w:color w:val="000000"/>
          <w:sz w:val="24"/>
        </w:rPr>
      </w:pPr>
      <w:r>
        <w:rPr>
          <w:rFonts w:hint="eastAsia" w:ascii="宋体" w:hAnsi="宋体"/>
          <w:color w:val="000000"/>
          <w:sz w:val="24"/>
        </w:rPr>
        <w:t>除技术规格及要求中另有规定外，本采购项下的投标均采用国家法定的计量单位。</w:t>
      </w:r>
    </w:p>
    <w:p>
      <w:pPr>
        <w:spacing w:line="360" w:lineRule="auto"/>
        <w:ind w:firstLine="482" w:firstLineChars="200"/>
        <w:outlineLvl w:val="2"/>
        <w:rPr>
          <w:rFonts w:ascii="宋体" w:hAnsi="宋体"/>
          <w:b/>
          <w:color w:val="000000"/>
          <w:sz w:val="24"/>
        </w:rPr>
      </w:pPr>
      <w:bookmarkStart w:id="102" w:name="_Toc217446045"/>
      <w:bookmarkStart w:id="103" w:name="_Toc31873"/>
      <w:r>
        <w:rPr>
          <w:rFonts w:hint="eastAsia" w:ascii="宋体" w:hAnsi="宋体"/>
          <w:b/>
          <w:color w:val="000000"/>
          <w:sz w:val="24"/>
        </w:rPr>
        <w:t>11. 投标货币</w:t>
      </w:r>
      <w:bookmarkEnd w:id="102"/>
      <w:bookmarkEnd w:id="103"/>
      <w:r>
        <w:rPr>
          <w:rFonts w:hint="eastAsia" w:ascii="宋体" w:hAnsi="宋体"/>
          <w:b/>
          <w:color w:val="000000"/>
          <w:sz w:val="24"/>
        </w:rPr>
        <w:t>（实质性要求）</w:t>
      </w:r>
    </w:p>
    <w:p>
      <w:pPr>
        <w:spacing w:line="360" w:lineRule="auto"/>
        <w:ind w:firstLine="480" w:firstLineChars="200"/>
        <w:rPr>
          <w:rFonts w:ascii="宋体" w:hAnsi="宋体"/>
          <w:color w:val="000000"/>
          <w:sz w:val="24"/>
        </w:rPr>
      </w:pPr>
      <w:r>
        <w:rPr>
          <w:rFonts w:hint="eastAsia" w:ascii="宋体" w:hAnsi="宋体"/>
          <w:color w:val="000000"/>
          <w:sz w:val="24"/>
        </w:rPr>
        <w:t>本次招标项目的投标均以人民币报价。</w:t>
      </w:r>
      <w:bookmarkStart w:id="104" w:name="_Toc217446047"/>
      <w:bookmarkStart w:id="105" w:name="_Toc32537"/>
    </w:p>
    <w:p>
      <w:pPr>
        <w:spacing w:line="360" w:lineRule="auto"/>
        <w:ind w:firstLine="482" w:firstLineChars="200"/>
        <w:outlineLvl w:val="2"/>
        <w:rPr>
          <w:rFonts w:ascii="宋体" w:hAnsi="宋体"/>
          <w:b/>
          <w:color w:val="000000"/>
          <w:sz w:val="24"/>
        </w:rPr>
      </w:pPr>
      <w:r>
        <w:rPr>
          <w:rFonts w:hint="eastAsia" w:ascii="宋体" w:hAnsi="宋体"/>
          <w:b/>
          <w:color w:val="000000"/>
          <w:sz w:val="24"/>
        </w:rPr>
        <w:t>12. 联合体投标（实质性要求）</w:t>
      </w:r>
    </w:p>
    <w:p>
      <w:pPr>
        <w:spacing w:line="360" w:lineRule="auto"/>
        <w:ind w:firstLine="480" w:firstLineChars="200"/>
        <w:rPr>
          <w:rFonts w:ascii="宋体" w:hAnsi="宋体"/>
          <w:color w:val="000000"/>
          <w:sz w:val="24"/>
        </w:rPr>
      </w:pPr>
      <w:r>
        <w:rPr>
          <w:rFonts w:hint="eastAsia" w:ascii="宋体" w:hAnsi="宋体"/>
          <w:color w:val="000000"/>
          <w:sz w:val="24"/>
        </w:rPr>
        <w:t>本项目不接受联合体投标。</w:t>
      </w:r>
    </w:p>
    <w:p>
      <w:pPr>
        <w:spacing w:line="360" w:lineRule="auto"/>
        <w:ind w:firstLine="482" w:firstLineChars="200"/>
        <w:rPr>
          <w:rFonts w:ascii="宋体" w:hAnsi="宋体"/>
          <w:b/>
          <w:color w:val="000000"/>
          <w:sz w:val="24"/>
        </w:rPr>
      </w:pPr>
      <w:r>
        <w:rPr>
          <w:rFonts w:hint="eastAsia" w:ascii="宋体" w:hAnsi="宋体"/>
          <w:b/>
          <w:color w:val="000000"/>
          <w:sz w:val="24"/>
        </w:rPr>
        <w:t>13. 知识产权</w:t>
      </w:r>
      <w:bookmarkEnd w:id="104"/>
      <w:bookmarkEnd w:id="105"/>
      <w:r>
        <w:rPr>
          <w:rFonts w:hint="eastAsia" w:ascii="宋体" w:hAnsi="宋体"/>
          <w:b/>
          <w:color w:val="000000"/>
          <w:sz w:val="24"/>
        </w:rPr>
        <w:t>（实质性要求）</w:t>
      </w:r>
    </w:p>
    <w:p>
      <w:pPr>
        <w:spacing w:line="360" w:lineRule="auto"/>
        <w:ind w:firstLine="480" w:firstLineChars="200"/>
        <w:rPr>
          <w:rFonts w:ascii="宋体" w:hAnsi="宋体"/>
          <w:color w:val="000000"/>
          <w:sz w:val="24"/>
        </w:rPr>
      </w:pPr>
      <w:r>
        <w:rPr>
          <w:rFonts w:hint="eastAsia" w:ascii="宋体" w:hAnsi="宋体"/>
          <w:color w:val="000000"/>
          <w:sz w:val="24"/>
        </w:rPr>
        <w:t>13.</w:t>
      </w:r>
      <w:r>
        <w:rPr>
          <w:rFonts w:ascii="宋体" w:hAnsi="宋体"/>
          <w:color w:val="000000"/>
          <w:sz w:val="24"/>
        </w:rPr>
        <w:t>1</w:t>
      </w:r>
      <w:r>
        <w:rPr>
          <w:rFonts w:hint="eastAsia" w:ascii="宋体" w:hAnsi="宋体"/>
          <w:color w:val="000000"/>
          <w:sz w:val="24"/>
        </w:rPr>
        <w:t xml:space="preserve">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spacing w:line="360" w:lineRule="auto"/>
        <w:ind w:firstLine="480" w:firstLineChars="200"/>
        <w:rPr>
          <w:rFonts w:ascii="宋体" w:hAnsi="宋体"/>
          <w:color w:val="000000"/>
          <w:sz w:val="24"/>
        </w:rPr>
      </w:pPr>
      <w:r>
        <w:rPr>
          <w:rFonts w:hint="eastAsia" w:ascii="宋体" w:hAnsi="宋体"/>
          <w:color w:val="000000"/>
          <w:sz w:val="24"/>
        </w:rPr>
        <w:t>13</w:t>
      </w:r>
      <w:r>
        <w:rPr>
          <w:rFonts w:ascii="宋体" w:hAnsi="宋体"/>
          <w:color w:val="000000"/>
          <w:sz w:val="24"/>
        </w:rPr>
        <w:t>.2</w:t>
      </w:r>
      <w:r>
        <w:rPr>
          <w:rFonts w:hint="eastAsia" w:ascii="宋体" w:hAnsi="宋体"/>
          <w:color w:val="000000"/>
          <w:sz w:val="24"/>
        </w:rPr>
        <w:t xml:space="preserve"> 采购人享有本项目实施过程中产生的知识成果及知识产权。</w:t>
      </w:r>
    </w:p>
    <w:p>
      <w:pPr>
        <w:spacing w:line="360" w:lineRule="auto"/>
        <w:ind w:firstLine="480" w:firstLineChars="200"/>
        <w:rPr>
          <w:rFonts w:ascii="宋体" w:hAnsi="宋体"/>
          <w:color w:val="000000"/>
          <w:sz w:val="24"/>
        </w:rPr>
      </w:pPr>
      <w:r>
        <w:rPr>
          <w:rFonts w:hint="eastAsia" w:ascii="宋体" w:hAnsi="宋体"/>
          <w:color w:val="000000"/>
          <w:sz w:val="24"/>
        </w:rPr>
        <w:t>13.3 投标人如欲在项目实施过程中采用自有知识成果，需在投标文件中声明，并提供相关知识产权证明文件。使用该知识成果后，投标人需提供开发接口和开发手册等技术文档，</w:t>
      </w:r>
      <w:r>
        <w:rPr>
          <w:rFonts w:hint="eastAsia" w:ascii="宋体" w:hAnsi="宋体"/>
          <w:b/>
          <w:bCs/>
          <w:color w:val="000000"/>
          <w:sz w:val="24"/>
        </w:rPr>
        <w:t>并承诺提供无限期技术支持，采购人享有永久使用权</w:t>
      </w:r>
      <w:r>
        <w:rPr>
          <w:rFonts w:hint="eastAsia" w:ascii="宋体" w:hAnsi="宋体"/>
          <w:color w:val="000000"/>
          <w:sz w:val="24"/>
        </w:rPr>
        <w:t>（含采购人委托第三方在该项目后续开发的使用权）。</w:t>
      </w:r>
    </w:p>
    <w:p>
      <w:pPr>
        <w:spacing w:line="360" w:lineRule="auto"/>
        <w:ind w:firstLine="480" w:firstLineChars="200"/>
        <w:rPr>
          <w:rFonts w:ascii="宋体" w:hAnsi="宋体"/>
          <w:color w:val="000000"/>
          <w:sz w:val="24"/>
        </w:rPr>
      </w:pPr>
      <w:r>
        <w:rPr>
          <w:rFonts w:hint="eastAsia" w:ascii="宋体" w:hAnsi="宋体"/>
          <w:color w:val="000000"/>
          <w:sz w:val="24"/>
        </w:rPr>
        <w:t xml:space="preserve">13.4 如采用投标人所不拥有的知识产权，则在投标报价中必须包括合法获取该知识产权的相关费用。 </w:t>
      </w:r>
      <w:bookmarkStart w:id="106" w:name="_Toc217446048"/>
      <w:bookmarkStart w:id="107" w:name="_Toc30556"/>
      <w:bookmarkStart w:id="108" w:name="_Toc183582217"/>
      <w:bookmarkStart w:id="109" w:name="_Toc183682354"/>
    </w:p>
    <w:p>
      <w:pPr>
        <w:spacing w:line="360" w:lineRule="auto"/>
        <w:ind w:firstLine="482" w:firstLineChars="200"/>
        <w:outlineLvl w:val="2"/>
        <w:rPr>
          <w:rFonts w:ascii="宋体" w:hAnsi="宋体"/>
          <w:b/>
          <w:color w:val="000000"/>
          <w:sz w:val="24"/>
        </w:rPr>
      </w:pPr>
      <w:r>
        <w:rPr>
          <w:rFonts w:hint="eastAsia" w:ascii="宋体" w:hAnsi="宋体"/>
          <w:b/>
          <w:color w:val="000000"/>
          <w:sz w:val="24"/>
        </w:rPr>
        <w:t>14. 投标文件的组成</w:t>
      </w:r>
      <w:bookmarkEnd w:id="106"/>
      <w:bookmarkEnd w:id="107"/>
      <w:bookmarkEnd w:id="108"/>
      <w:bookmarkEnd w:id="109"/>
    </w:p>
    <w:p>
      <w:pPr>
        <w:spacing w:line="360" w:lineRule="auto"/>
        <w:ind w:firstLine="480" w:firstLineChars="200"/>
        <w:rPr>
          <w:rFonts w:ascii="宋体" w:hAnsi="宋体"/>
          <w:color w:val="000000"/>
          <w:sz w:val="24"/>
        </w:rPr>
      </w:pPr>
      <w:r>
        <w:rPr>
          <w:rFonts w:hint="eastAsia" w:ascii="宋体" w:hAnsi="宋体"/>
          <w:color w:val="000000"/>
          <w:sz w:val="24"/>
        </w:rPr>
        <w:t>投标人应按照招标文件的规定和要求编制</w:t>
      </w:r>
      <w:r>
        <w:rPr>
          <w:rFonts w:hint="eastAsia" w:ascii="宋体" w:hAnsi="宋体"/>
          <w:b/>
          <w:bCs/>
          <w:color w:val="000000"/>
          <w:sz w:val="24"/>
        </w:rPr>
        <w:t>资格性投标文件和其他投标文件</w:t>
      </w:r>
      <w:r>
        <w:rPr>
          <w:rFonts w:hint="eastAsia" w:ascii="宋体" w:hAnsi="宋体"/>
          <w:color w:val="000000"/>
          <w:sz w:val="24"/>
        </w:rPr>
        <w:t>。投标人拟在中标后将中标项目的非主体、非关键性工作交由他人分包完成的，应当在符合性投标文件中载明。</w:t>
      </w:r>
    </w:p>
    <w:p>
      <w:pPr>
        <w:spacing w:line="360" w:lineRule="auto"/>
        <w:ind w:firstLine="482" w:firstLineChars="200"/>
        <w:rPr>
          <w:rFonts w:ascii="宋体" w:hAnsi="宋体"/>
          <w:b/>
          <w:bCs/>
          <w:color w:val="000000"/>
          <w:sz w:val="24"/>
        </w:rPr>
      </w:pPr>
      <w:r>
        <w:rPr>
          <w:rFonts w:hint="eastAsia" w:ascii="宋体" w:hAnsi="宋体"/>
          <w:b/>
          <w:bCs/>
          <w:color w:val="000000"/>
          <w:sz w:val="24"/>
        </w:rPr>
        <w:t>14.1资格性投标文件</w:t>
      </w:r>
    </w:p>
    <w:p>
      <w:pPr>
        <w:spacing w:line="360" w:lineRule="auto"/>
        <w:ind w:firstLine="482" w:firstLineChars="200"/>
        <w:rPr>
          <w:rFonts w:ascii="宋体" w:hAnsi="宋体"/>
          <w:b/>
          <w:bCs/>
          <w:color w:val="000000"/>
          <w:sz w:val="24"/>
        </w:rPr>
      </w:pPr>
      <w:r>
        <w:rPr>
          <w:rFonts w:hint="eastAsia" w:ascii="宋体" w:hAnsi="宋体"/>
          <w:b/>
          <w:bCs/>
          <w:color w:val="000000"/>
          <w:sz w:val="24"/>
        </w:rPr>
        <w:t>（1）法定代表人授权书/单位负责人授权书</w:t>
      </w:r>
    </w:p>
    <w:p>
      <w:pPr>
        <w:spacing w:line="360" w:lineRule="auto"/>
        <w:ind w:firstLine="482" w:firstLineChars="200"/>
        <w:rPr>
          <w:rFonts w:ascii="宋体" w:hAnsi="宋体"/>
          <w:b/>
          <w:bCs/>
          <w:color w:val="000000"/>
          <w:sz w:val="24"/>
        </w:rPr>
      </w:pPr>
      <w:r>
        <w:rPr>
          <w:rFonts w:hint="eastAsia" w:ascii="宋体" w:hAnsi="宋体"/>
          <w:b/>
          <w:bCs/>
          <w:color w:val="000000"/>
          <w:sz w:val="24"/>
        </w:rPr>
        <w:t>（2）法定代表人/单位负责人身份证明书</w:t>
      </w:r>
    </w:p>
    <w:p>
      <w:pPr>
        <w:spacing w:line="360" w:lineRule="auto"/>
        <w:ind w:firstLine="482" w:firstLineChars="200"/>
        <w:rPr>
          <w:rFonts w:ascii="宋体" w:hAnsi="宋体"/>
          <w:b/>
          <w:bCs/>
          <w:color w:val="000000"/>
          <w:sz w:val="24"/>
        </w:rPr>
      </w:pPr>
      <w:r>
        <w:rPr>
          <w:rFonts w:hint="eastAsia" w:ascii="宋体" w:hAnsi="宋体"/>
          <w:b/>
          <w:bCs/>
          <w:color w:val="000000"/>
          <w:sz w:val="24"/>
        </w:rPr>
        <w:t>（3）承诺函</w:t>
      </w:r>
    </w:p>
    <w:p>
      <w:pPr>
        <w:spacing w:line="360" w:lineRule="auto"/>
        <w:ind w:firstLine="482" w:firstLineChars="200"/>
        <w:rPr>
          <w:rFonts w:ascii="宋体" w:hAnsi="宋体"/>
          <w:b/>
          <w:bCs/>
          <w:color w:val="000000"/>
          <w:sz w:val="24"/>
        </w:rPr>
      </w:pPr>
      <w:r>
        <w:rPr>
          <w:rFonts w:hint="eastAsia" w:ascii="宋体" w:hAnsi="宋体"/>
          <w:b/>
          <w:bCs/>
          <w:color w:val="000000"/>
          <w:sz w:val="24"/>
        </w:rPr>
        <w:t>（4）投标人及其现任法定代表人、主要负责人不具有行贿犯罪记录的承诺函</w:t>
      </w:r>
    </w:p>
    <w:p>
      <w:pPr>
        <w:spacing w:line="360" w:lineRule="auto"/>
        <w:ind w:firstLine="482" w:firstLineChars="200"/>
        <w:rPr>
          <w:rFonts w:ascii="宋体" w:hAnsi="宋体"/>
          <w:b/>
          <w:bCs/>
          <w:color w:val="000000"/>
          <w:sz w:val="24"/>
        </w:rPr>
      </w:pPr>
      <w:r>
        <w:rPr>
          <w:rFonts w:hint="eastAsia" w:ascii="宋体" w:hAnsi="宋体"/>
          <w:b/>
          <w:bCs/>
          <w:color w:val="000000"/>
          <w:sz w:val="24"/>
        </w:rPr>
        <w:t>（5）投标人资质性及其他类似效力要求承诺函</w:t>
      </w:r>
    </w:p>
    <w:p>
      <w:pPr>
        <w:spacing w:line="360" w:lineRule="auto"/>
        <w:ind w:firstLine="482" w:firstLineChars="200"/>
        <w:rPr>
          <w:rFonts w:ascii="宋体" w:hAnsi="宋体"/>
          <w:b/>
          <w:bCs/>
          <w:color w:val="000000"/>
          <w:sz w:val="24"/>
        </w:rPr>
      </w:pPr>
      <w:r>
        <w:rPr>
          <w:rFonts w:hint="eastAsia" w:ascii="宋体" w:hAnsi="宋体"/>
          <w:b/>
          <w:bCs/>
          <w:color w:val="000000"/>
          <w:sz w:val="24"/>
        </w:rPr>
        <w:t>（6）招标文件要求的其他资格证明材料（格式自拟）</w:t>
      </w:r>
    </w:p>
    <w:p>
      <w:pPr>
        <w:spacing w:line="360" w:lineRule="auto"/>
        <w:ind w:firstLine="482" w:firstLineChars="200"/>
        <w:rPr>
          <w:rFonts w:ascii="宋体" w:hAnsi="宋体"/>
          <w:b/>
          <w:bCs/>
          <w:color w:val="000000"/>
          <w:sz w:val="24"/>
        </w:rPr>
      </w:pPr>
      <w:r>
        <w:rPr>
          <w:rFonts w:hint="eastAsia" w:ascii="宋体" w:hAnsi="宋体"/>
          <w:b/>
          <w:bCs/>
          <w:color w:val="000000"/>
          <w:sz w:val="24"/>
        </w:rPr>
        <w:t>14.2其他投标文件</w:t>
      </w:r>
    </w:p>
    <w:p>
      <w:pPr>
        <w:spacing w:line="360" w:lineRule="auto"/>
        <w:ind w:firstLine="482" w:firstLineChars="200"/>
        <w:rPr>
          <w:rFonts w:ascii="宋体" w:hAnsi="宋体"/>
          <w:b/>
          <w:bCs/>
          <w:color w:val="000000"/>
          <w:sz w:val="24"/>
        </w:rPr>
      </w:pPr>
      <w:r>
        <w:rPr>
          <w:rFonts w:hint="eastAsia" w:ascii="宋体" w:hAnsi="宋体"/>
          <w:b/>
          <w:bCs/>
          <w:color w:val="000000"/>
          <w:sz w:val="24"/>
        </w:rPr>
        <w:t>（1）投标函</w:t>
      </w:r>
    </w:p>
    <w:p>
      <w:pPr>
        <w:spacing w:line="360" w:lineRule="auto"/>
        <w:ind w:firstLine="482" w:firstLineChars="200"/>
        <w:rPr>
          <w:rFonts w:ascii="宋体" w:hAnsi="宋体"/>
          <w:b/>
          <w:bCs/>
          <w:color w:val="000000"/>
          <w:sz w:val="24"/>
        </w:rPr>
      </w:pPr>
      <w:r>
        <w:rPr>
          <w:rFonts w:hint="eastAsia" w:ascii="宋体" w:hAnsi="宋体"/>
          <w:b/>
          <w:bCs/>
          <w:color w:val="000000"/>
          <w:sz w:val="24"/>
        </w:rPr>
        <w:t>（2）开标一览表、分项报价明细表</w:t>
      </w:r>
    </w:p>
    <w:p>
      <w:pPr>
        <w:spacing w:line="360" w:lineRule="auto"/>
        <w:ind w:firstLine="482" w:firstLineChars="200"/>
        <w:rPr>
          <w:rFonts w:ascii="宋体" w:hAnsi="宋体"/>
          <w:b/>
          <w:bCs/>
          <w:color w:val="000000"/>
          <w:sz w:val="24"/>
        </w:rPr>
      </w:pPr>
      <w:r>
        <w:rPr>
          <w:rFonts w:hint="eastAsia" w:ascii="宋体" w:hAnsi="宋体"/>
          <w:b/>
          <w:bCs/>
          <w:color w:val="000000"/>
          <w:sz w:val="24"/>
        </w:rPr>
        <w:t>（3）商务应答表</w:t>
      </w:r>
    </w:p>
    <w:p>
      <w:pPr>
        <w:spacing w:line="360" w:lineRule="auto"/>
        <w:ind w:firstLine="482" w:firstLineChars="200"/>
        <w:rPr>
          <w:rFonts w:ascii="宋体" w:hAnsi="宋体"/>
          <w:b/>
          <w:bCs/>
          <w:color w:val="000000"/>
          <w:sz w:val="24"/>
        </w:rPr>
      </w:pPr>
      <w:r>
        <w:rPr>
          <w:rFonts w:hint="eastAsia" w:ascii="宋体" w:hAnsi="宋体"/>
          <w:b/>
          <w:bCs/>
          <w:color w:val="000000"/>
          <w:sz w:val="24"/>
        </w:rPr>
        <w:t>（4）投标人基本情况表</w:t>
      </w:r>
    </w:p>
    <w:p>
      <w:pPr>
        <w:spacing w:line="360" w:lineRule="auto"/>
        <w:ind w:firstLine="482" w:firstLineChars="200"/>
        <w:rPr>
          <w:rFonts w:ascii="宋体" w:hAnsi="宋体"/>
          <w:b/>
          <w:bCs/>
          <w:color w:val="000000"/>
          <w:sz w:val="24"/>
        </w:rPr>
      </w:pPr>
      <w:r>
        <w:rPr>
          <w:rFonts w:hint="eastAsia" w:ascii="宋体" w:hAnsi="宋体"/>
          <w:b/>
          <w:bCs/>
          <w:color w:val="000000"/>
          <w:sz w:val="24"/>
        </w:rPr>
        <w:t>（5）服务应答表</w:t>
      </w:r>
    </w:p>
    <w:p>
      <w:pPr>
        <w:spacing w:line="360" w:lineRule="auto"/>
        <w:ind w:firstLine="482" w:firstLineChars="200"/>
        <w:rPr>
          <w:rFonts w:ascii="宋体" w:hAnsi="宋体"/>
          <w:b/>
          <w:bCs/>
          <w:color w:val="000000"/>
          <w:sz w:val="24"/>
        </w:rPr>
      </w:pPr>
      <w:r>
        <w:rPr>
          <w:rFonts w:hint="eastAsia" w:ascii="宋体" w:hAnsi="宋体"/>
          <w:b/>
          <w:bCs/>
          <w:color w:val="000000"/>
          <w:sz w:val="24"/>
        </w:rPr>
        <w:t xml:space="preserve">（6）投标人本项目管理、技术、服务人员情况表                                         </w:t>
      </w:r>
    </w:p>
    <w:p>
      <w:pPr>
        <w:spacing w:line="360" w:lineRule="auto"/>
        <w:ind w:firstLine="482" w:firstLineChars="200"/>
        <w:rPr>
          <w:rFonts w:ascii="宋体" w:hAnsi="宋体"/>
          <w:b/>
          <w:bCs/>
          <w:color w:val="000000"/>
          <w:sz w:val="24"/>
        </w:rPr>
      </w:pPr>
      <w:r>
        <w:rPr>
          <w:rFonts w:hint="eastAsia" w:ascii="宋体" w:hAnsi="宋体"/>
          <w:b/>
          <w:bCs/>
          <w:color w:val="000000"/>
          <w:sz w:val="24"/>
        </w:rPr>
        <w:t>（7）服务方案</w:t>
      </w:r>
    </w:p>
    <w:p>
      <w:pPr>
        <w:spacing w:line="360" w:lineRule="auto"/>
        <w:ind w:firstLine="482" w:firstLineChars="200"/>
        <w:rPr>
          <w:rFonts w:ascii="宋体" w:hAnsi="宋体"/>
          <w:b/>
          <w:bCs/>
          <w:color w:val="000000"/>
          <w:sz w:val="24"/>
        </w:rPr>
      </w:pPr>
      <w:r>
        <w:rPr>
          <w:rFonts w:hint="eastAsia" w:ascii="宋体" w:hAnsi="宋体"/>
          <w:b/>
          <w:bCs/>
          <w:color w:val="000000"/>
          <w:sz w:val="24"/>
        </w:rPr>
        <w:t>（8）中小企业声明函</w:t>
      </w:r>
    </w:p>
    <w:p>
      <w:pPr>
        <w:spacing w:line="360" w:lineRule="auto"/>
        <w:ind w:firstLine="482" w:firstLineChars="200"/>
        <w:rPr>
          <w:rFonts w:ascii="宋体" w:hAnsi="宋体"/>
          <w:b/>
          <w:bCs/>
          <w:color w:val="000000"/>
          <w:sz w:val="24"/>
        </w:rPr>
      </w:pPr>
      <w:r>
        <w:rPr>
          <w:rFonts w:hint="eastAsia" w:ascii="宋体" w:hAnsi="宋体"/>
          <w:b/>
          <w:bCs/>
          <w:color w:val="000000"/>
          <w:sz w:val="24"/>
        </w:rPr>
        <w:t>（9）监狱企业相关证明材料（ 如涉及 ）</w:t>
      </w:r>
    </w:p>
    <w:p>
      <w:pPr>
        <w:spacing w:line="360" w:lineRule="auto"/>
        <w:ind w:firstLine="482" w:firstLineChars="200"/>
        <w:rPr>
          <w:rFonts w:ascii="宋体" w:hAnsi="宋体"/>
          <w:b/>
          <w:bCs/>
          <w:color w:val="000000"/>
          <w:sz w:val="24"/>
        </w:rPr>
      </w:pPr>
      <w:r>
        <w:rPr>
          <w:rFonts w:hint="eastAsia" w:ascii="宋体" w:hAnsi="宋体"/>
          <w:b/>
          <w:bCs/>
          <w:color w:val="000000"/>
          <w:sz w:val="24"/>
        </w:rPr>
        <w:t>（10）残疾人福利性单位声明函</w:t>
      </w:r>
    </w:p>
    <w:p>
      <w:pPr>
        <w:spacing w:line="360" w:lineRule="auto"/>
        <w:ind w:firstLine="482" w:firstLineChars="200"/>
        <w:rPr>
          <w:rFonts w:ascii="宋体" w:hAnsi="宋体"/>
          <w:b/>
          <w:bCs/>
          <w:color w:val="000000"/>
          <w:sz w:val="24"/>
        </w:rPr>
      </w:pPr>
      <w:r>
        <w:rPr>
          <w:rFonts w:hint="eastAsia" w:ascii="宋体" w:hAnsi="宋体"/>
          <w:b/>
          <w:bCs/>
          <w:color w:val="000000"/>
          <w:sz w:val="24"/>
        </w:rPr>
        <w:t>（11）其他实质性要求应答</w:t>
      </w:r>
    </w:p>
    <w:p>
      <w:pPr>
        <w:spacing w:line="360" w:lineRule="auto"/>
        <w:ind w:firstLine="482" w:firstLineChars="200"/>
        <w:rPr>
          <w:rFonts w:ascii="宋体" w:hAnsi="宋体"/>
          <w:b/>
          <w:bCs/>
          <w:color w:val="000000"/>
          <w:sz w:val="24"/>
        </w:rPr>
      </w:pPr>
      <w:r>
        <w:rPr>
          <w:rFonts w:hint="eastAsia" w:ascii="宋体" w:hAnsi="宋体"/>
          <w:b/>
          <w:bCs/>
          <w:color w:val="000000"/>
          <w:sz w:val="24"/>
        </w:rPr>
        <w:t>（12）招标代理服务费承诺书</w:t>
      </w:r>
    </w:p>
    <w:p>
      <w:pPr>
        <w:spacing w:before="120" w:beforeLines="50" w:after="120" w:afterLines="50" w:line="360" w:lineRule="auto"/>
        <w:ind w:firstLine="482" w:firstLineChars="200"/>
        <w:rPr>
          <w:rFonts w:ascii="宋体" w:hAnsi="宋体"/>
          <w:b/>
          <w:bCs/>
          <w:color w:val="000000"/>
          <w:sz w:val="24"/>
        </w:rPr>
      </w:pPr>
      <w:r>
        <w:rPr>
          <w:rFonts w:hint="eastAsia" w:ascii="宋体" w:hAnsi="宋体"/>
          <w:b/>
          <w:bCs/>
          <w:color w:val="000000"/>
          <w:sz w:val="24"/>
        </w:rPr>
        <w:t>（13）招标文件要求或投标人认为应该提供的其他资料（如有）</w:t>
      </w:r>
    </w:p>
    <w:p>
      <w:pPr>
        <w:pStyle w:val="21"/>
        <w:spacing w:line="360" w:lineRule="auto"/>
        <w:ind w:firstLine="482" w:firstLineChars="200"/>
        <w:rPr>
          <w:rFonts w:ascii="宋体"/>
          <w:b/>
          <w:bCs/>
          <w:color w:val="000000"/>
          <w:sz w:val="24"/>
        </w:rPr>
      </w:pPr>
      <w:bookmarkStart w:id="110" w:name="_Toc183682355"/>
      <w:bookmarkStart w:id="111" w:name="_Toc183582218"/>
      <w:bookmarkStart w:id="112" w:name="_Toc217446049"/>
      <w:bookmarkStart w:id="113" w:name="_Toc27358"/>
      <w:bookmarkStart w:id="114" w:name="_Toc217446081"/>
      <w:r>
        <w:rPr>
          <w:rFonts w:hint="eastAsia" w:ascii="宋体"/>
          <w:b/>
          <w:bCs/>
          <w:color w:val="000000"/>
          <w:sz w:val="24"/>
        </w:rPr>
        <w:t>注：以上14.1、14.2 要求提供的证明材料均需加盖投标人公章，若未加盖投标人公章的，则该证明材料涉及的评分项不予评分，涉及资格条件的评审项按未通过处理。</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15. 投标文件格式</w:t>
      </w:r>
      <w:bookmarkEnd w:id="110"/>
      <w:bookmarkEnd w:id="111"/>
      <w:bookmarkEnd w:id="112"/>
      <w:bookmarkEnd w:id="113"/>
    </w:p>
    <w:p>
      <w:pPr>
        <w:tabs>
          <w:tab w:val="left" w:pos="7665"/>
        </w:tabs>
        <w:spacing w:line="360" w:lineRule="auto"/>
        <w:ind w:left="13" w:leftChars="6" w:firstLine="480" w:firstLineChars="200"/>
        <w:rPr>
          <w:rFonts w:ascii="宋体"/>
          <w:color w:val="000000"/>
          <w:sz w:val="24"/>
        </w:rPr>
      </w:pPr>
      <w:r>
        <w:rPr>
          <w:rFonts w:hint="eastAsia" w:ascii="宋体"/>
          <w:color w:val="000000"/>
          <w:sz w:val="24"/>
        </w:rPr>
        <w:t>15.1 投标人应执行招标文件第三章的规定要求。</w:t>
      </w:r>
    </w:p>
    <w:p>
      <w:pPr>
        <w:spacing w:line="360" w:lineRule="auto"/>
        <w:ind w:firstLine="480" w:firstLineChars="200"/>
        <w:rPr>
          <w:rFonts w:ascii="宋体" w:hAnsi="宋体"/>
          <w:color w:val="000000"/>
          <w:sz w:val="24"/>
        </w:rPr>
      </w:pPr>
      <w:r>
        <w:rPr>
          <w:rFonts w:hint="eastAsia" w:ascii="宋体" w:hAnsi="宋体"/>
          <w:color w:val="000000"/>
          <w:sz w:val="24"/>
        </w:rPr>
        <w:t>15.2 对于没有格式要求的投标文件由投标人自行编写。</w:t>
      </w:r>
    </w:p>
    <w:p>
      <w:pPr>
        <w:spacing w:line="360" w:lineRule="auto"/>
        <w:ind w:firstLine="482" w:firstLineChars="200"/>
        <w:outlineLvl w:val="2"/>
        <w:rPr>
          <w:rFonts w:ascii="宋体" w:hAnsi="宋体"/>
          <w:b/>
          <w:color w:val="000000"/>
          <w:sz w:val="24"/>
        </w:rPr>
      </w:pPr>
      <w:bookmarkStart w:id="115" w:name="_Toc183682360"/>
      <w:bookmarkStart w:id="116" w:name="_Toc217446050"/>
      <w:bookmarkStart w:id="117" w:name="_Toc9767"/>
      <w:bookmarkStart w:id="118" w:name="_Toc183582223"/>
      <w:r>
        <w:rPr>
          <w:rFonts w:hint="eastAsia" w:ascii="宋体" w:hAnsi="宋体"/>
          <w:b/>
          <w:color w:val="000000"/>
          <w:sz w:val="24"/>
        </w:rPr>
        <w:t>16. 投标保证金</w:t>
      </w:r>
      <w:bookmarkEnd w:id="115"/>
      <w:bookmarkEnd w:id="116"/>
      <w:bookmarkEnd w:id="117"/>
      <w:bookmarkEnd w:id="118"/>
    </w:p>
    <w:p>
      <w:pPr>
        <w:spacing w:line="360" w:lineRule="auto"/>
        <w:ind w:firstLine="480" w:firstLineChars="200"/>
        <w:rPr>
          <w:rFonts w:ascii="宋体" w:hAnsi="宋体"/>
          <w:color w:val="000000"/>
          <w:sz w:val="24"/>
        </w:rPr>
      </w:pPr>
      <w:bookmarkStart w:id="119" w:name="_Toc217446051"/>
      <w:bookmarkStart w:id="120" w:name="_Toc183582224"/>
      <w:bookmarkStart w:id="121" w:name="_Toc29392"/>
      <w:bookmarkStart w:id="122" w:name="_Toc183682361"/>
      <w:r>
        <w:rPr>
          <w:rFonts w:hint="eastAsia" w:ascii="宋体" w:hAnsi="宋体"/>
          <w:color w:val="000000"/>
          <w:sz w:val="24"/>
        </w:rPr>
        <w:t>根据四川省财政厅发布的《四川省财政厅关于进一步做好疫情防控期间政府采购工作有关事项的通知》川财采（2020）28号文相关规定，本项目不收取投标保证金。</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17．投标有效期</w:t>
      </w:r>
      <w:bookmarkEnd w:id="119"/>
      <w:bookmarkEnd w:id="120"/>
      <w:bookmarkEnd w:id="121"/>
      <w:bookmarkEnd w:id="122"/>
      <w:r>
        <w:rPr>
          <w:rFonts w:hint="eastAsia" w:ascii="宋体" w:hAnsi="宋体"/>
          <w:b/>
          <w:color w:val="000000"/>
          <w:sz w:val="24"/>
        </w:rPr>
        <w:t>（实质性要求）</w:t>
      </w:r>
    </w:p>
    <w:p>
      <w:pPr>
        <w:spacing w:line="360" w:lineRule="auto"/>
        <w:ind w:firstLine="480" w:firstLineChars="200"/>
        <w:rPr>
          <w:rFonts w:ascii="宋体"/>
          <w:color w:val="000000"/>
          <w:sz w:val="24"/>
        </w:rPr>
      </w:pPr>
      <w:r>
        <w:rPr>
          <w:rFonts w:hint="eastAsia" w:ascii="宋体" w:hAnsi="宋体"/>
          <w:color w:val="000000"/>
          <w:sz w:val="24"/>
        </w:rPr>
        <w:t>17</w:t>
      </w:r>
      <w:r>
        <w:rPr>
          <w:rFonts w:ascii="宋体" w:hAnsi="宋体"/>
          <w:color w:val="000000"/>
          <w:sz w:val="24"/>
        </w:rPr>
        <w:t>.</w:t>
      </w:r>
      <w:r>
        <w:rPr>
          <w:rFonts w:hint="eastAsia" w:ascii="宋体" w:hAnsi="宋体"/>
          <w:color w:val="000000"/>
          <w:sz w:val="24"/>
        </w:rPr>
        <w:t>1</w:t>
      </w:r>
      <w:r>
        <w:rPr>
          <w:rFonts w:hint="eastAsia" w:ascii="宋体"/>
          <w:color w:val="000000"/>
          <w:sz w:val="24"/>
        </w:rPr>
        <w:t xml:space="preserve"> 本项目投标有效期为投标截止时间届满后90天。投标人投标文件中必须载明投标有效期，投标文件中载明的投标有效期可以长于招标文件规定的期限，但不得短于招标文件规定的期限。否则，其投标文件将作为无效投标处理。</w:t>
      </w:r>
    </w:p>
    <w:p>
      <w:pPr>
        <w:spacing w:line="360" w:lineRule="auto"/>
        <w:ind w:firstLine="480" w:firstLineChars="200"/>
        <w:rPr>
          <w:rFonts w:ascii="宋体"/>
          <w:color w:val="000000"/>
          <w:sz w:val="24"/>
        </w:rPr>
      </w:pPr>
      <w:r>
        <w:rPr>
          <w:rFonts w:hint="eastAsia" w:ascii="宋体"/>
          <w:color w:val="000000"/>
          <w:sz w:val="24"/>
        </w:rPr>
        <w:t>17.2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spacing w:line="360" w:lineRule="auto"/>
        <w:ind w:firstLine="480" w:firstLineChars="200"/>
        <w:rPr>
          <w:rFonts w:ascii="宋体" w:hAnsi="宋体"/>
          <w:color w:val="000000"/>
          <w:sz w:val="24"/>
        </w:rPr>
      </w:pPr>
      <w:r>
        <w:rPr>
          <w:rFonts w:hint="eastAsia" w:ascii="宋体"/>
          <w:color w:val="000000"/>
          <w:sz w:val="24"/>
        </w:rPr>
        <w:t>17.3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spacing w:line="360" w:lineRule="auto"/>
        <w:ind w:firstLine="482" w:firstLineChars="200"/>
        <w:outlineLvl w:val="2"/>
        <w:rPr>
          <w:rFonts w:ascii="宋体" w:hAnsi="宋体"/>
          <w:b/>
          <w:color w:val="000000"/>
          <w:sz w:val="24"/>
        </w:rPr>
      </w:pPr>
      <w:bookmarkStart w:id="123" w:name="_Toc217446052"/>
      <w:bookmarkStart w:id="124" w:name="_Toc183582225"/>
      <w:bookmarkStart w:id="125" w:name="_Toc183682362"/>
      <w:bookmarkStart w:id="126" w:name="_Toc4477"/>
      <w:r>
        <w:rPr>
          <w:rFonts w:hint="eastAsia" w:ascii="宋体" w:hAnsi="宋体"/>
          <w:b/>
          <w:color w:val="000000"/>
          <w:sz w:val="24"/>
        </w:rPr>
        <w:t>18．投标文件的印制和签署</w:t>
      </w:r>
      <w:bookmarkEnd w:id="123"/>
      <w:bookmarkEnd w:id="124"/>
      <w:bookmarkEnd w:id="125"/>
      <w:bookmarkEnd w:id="126"/>
    </w:p>
    <w:p>
      <w:pPr>
        <w:spacing w:line="360" w:lineRule="auto"/>
        <w:ind w:firstLine="480" w:firstLineChars="200"/>
        <w:rPr>
          <w:rFonts w:ascii="宋体" w:hAnsi="宋体"/>
          <w:color w:val="000000"/>
          <w:sz w:val="24"/>
        </w:rPr>
      </w:pPr>
      <w:bookmarkStart w:id="127" w:name="_Toc77400781"/>
      <w:bookmarkStart w:id="128" w:name="_Toc183682363"/>
      <w:bookmarkStart w:id="129" w:name="_Toc89075877"/>
      <w:bookmarkStart w:id="130" w:name="_Toc183582226"/>
      <w:bookmarkStart w:id="131" w:name="_Toc217446053"/>
      <w:bookmarkStart w:id="132" w:name="_Toc26347"/>
      <w:r>
        <w:rPr>
          <w:rFonts w:hint="eastAsia" w:ascii="宋体" w:hAnsi="宋体"/>
          <w:color w:val="000000"/>
          <w:sz w:val="24"/>
        </w:rPr>
        <w:t>18.1 投标文件分资格性投标文件、其他投标文件两部分，分册装订。</w:t>
      </w:r>
    </w:p>
    <w:p>
      <w:pPr>
        <w:spacing w:line="360" w:lineRule="auto"/>
        <w:ind w:firstLine="480" w:firstLineChars="200"/>
        <w:rPr>
          <w:rFonts w:ascii="宋体" w:hAnsi="宋体"/>
          <w:color w:val="000000"/>
          <w:sz w:val="24"/>
        </w:rPr>
      </w:pPr>
      <w:r>
        <w:rPr>
          <w:rFonts w:hint="eastAsia" w:ascii="宋体" w:hAnsi="宋体"/>
          <w:color w:val="000000"/>
          <w:sz w:val="24"/>
        </w:rPr>
        <w:t>18.2 投标文件按招标文件要求的格式进行密封。资格性投标文件用于采购人或采购代理机构对投标人进行资格审查，其他投标文件用于评标委员会评审。</w:t>
      </w:r>
    </w:p>
    <w:p>
      <w:pPr>
        <w:spacing w:line="360" w:lineRule="auto"/>
        <w:ind w:firstLine="480" w:firstLineChars="200"/>
        <w:rPr>
          <w:rFonts w:ascii="宋体" w:hAnsi="宋体"/>
          <w:color w:val="000000"/>
          <w:sz w:val="24"/>
        </w:rPr>
      </w:pPr>
      <w:r>
        <w:rPr>
          <w:rFonts w:hint="eastAsia" w:ascii="宋体" w:hAnsi="宋体"/>
          <w:color w:val="000000"/>
          <w:sz w:val="24"/>
        </w:rPr>
        <w:t>18.3 投标人递交的投标文件为一式叁份，其中正本壹份，副本贰份，电子文档壹份（以.doc或.docx 格式存档的 U 盘）、用于开标唱标单独提交的“开标一览表”壹份。投标文件正本应用不褪色、不变质的墨水书写或打印，并装订成册，由投标人的法定代表人或其授权代表在规定签章处签字或盖章。投标文件副本可采用正本的复印件，若正本和副本有不一致的内容，以正本书面投标文件为准。</w:t>
      </w:r>
    </w:p>
    <w:p>
      <w:pPr>
        <w:spacing w:line="360" w:lineRule="auto"/>
        <w:ind w:firstLine="480" w:firstLineChars="200"/>
        <w:rPr>
          <w:rFonts w:ascii="宋体" w:hAnsi="宋体"/>
          <w:color w:val="000000"/>
          <w:sz w:val="24"/>
        </w:rPr>
      </w:pPr>
      <w:r>
        <w:rPr>
          <w:rFonts w:hint="eastAsia" w:ascii="宋体" w:hAnsi="宋体"/>
          <w:color w:val="000000"/>
          <w:sz w:val="24"/>
        </w:rPr>
        <w:t xml:space="preserve">18.4“开标一览表”除单独密封提交外，还应编制于其他投标文件正副本内，如有遗漏，将视为无效投标 </w:t>
      </w:r>
      <w:r>
        <w:rPr>
          <w:rFonts w:hint="eastAsia" w:ascii="宋体" w:hAnsi="宋体"/>
          <w:b/>
          <w:bCs/>
          <w:color w:val="000000"/>
          <w:sz w:val="24"/>
        </w:rPr>
        <w:t>（实质性要求）</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18.5 投标文件正本和副本统一用 A4 幅面纸印制（图、表及证件可以除外），</w:t>
      </w:r>
      <w:r>
        <w:rPr>
          <w:rFonts w:hint="eastAsia" w:ascii="宋体" w:hAnsi="宋体"/>
          <w:b/>
          <w:bCs/>
          <w:color w:val="000000"/>
          <w:sz w:val="24"/>
        </w:rPr>
        <w:t>逐页编码</w:t>
      </w:r>
      <w:r>
        <w:rPr>
          <w:rFonts w:hint="eastAsia" w:ascii="宋体" w:hAnsi="宋体"/>
          <w:color w:val="000000"/>
          <w:sz w:val="24"/>
        </w:rPr>
        <w:t>，可双面打印。</w:t>
      </w:r>
    </w:p>
    <w:p>
      <w:pPr>
        <w:spacing w:line="360" w:lineRule="auto"/>
        <w:ind w:firstLine="480" w:firstLineChars="200"/>
        <w:rPr>
          <w:rFonts w:ascii="宋体" w:hAnsi="宋体"/>
          <w:color w:val="000000"/>
          <w:sz w:val="24"/>
        </w:rPr>
      </w:pPr>
      <w:r>
        <w:rPr>
          <w:rFonts w:hint="eastAsia" w:ascii="宋体" w:hAnsi="宋体"/>
          <w:color w:val="000000"/>
          <w:sz w:val="24"/>
        </w:rPr>
        <w:t>18.6 投标文件的正本和副本应采用左侧胶装，不得散装或者采用活页夹等随时可以拆换的方式装订；若投标文件内容较多，可分册装订，并在封面标明次序及册数。</w:t>
      </w:r>
    </w:p>
    <w:p>
      <w:pPr>
        <w:spacing w:line="360" w:lineRule="auto"/>
        <w:ind w:firstLine="480" w:firstLineChars="200"/>
        <w:rPr>
          <w:rFonts w:ascii="宋体" w:hAnsi="宋体"/>
          <w:color w:val="000000"/>
          <w:sz w:val="24"/>
        </w:rPr>
      </w:pPr>
      <w:r>
        <w:rPr>
          <w:rFonts w:hint="eastAsia" w:ascii="宋体" w:hAnsi="宋体"/>
          <w:color w:val="000000"/>
          <w:sz w:val="24"/>
        </w:rPr>
        <w:t>18.7 投标文件中的证明、证件及附件等的复印件应集中紧附在相应正文内容后面，并尽量与前面正文部分的顺序相对应。</w:t>
      </w:r>
    </w:p>
    <w:p>
      <w:pPr>
        <w:spacing w:line="360" w:lineRule="auto"/>
        <w:ind w:firstLine="480" w:firstLineChars="200"/>
        <w:rPr>
          <w:rFonts w:ascii="宋体" w:hAnsi="宋体"/>
          <w:color w:val="000000"/>
          <w:sz w:val="24"/>
        </w:rPr>
      </w:pPr>
      <w:r>
        <w:rPr>
          <w:rFonts w:hint="eastAsia" w:ascii="宋体" w:hAnsi="宋体"/>
          <w:color w:val="000000"/>
          <w:sz w:val="24"/>
        </w:rPr>
        <w:t>18.8 投标文件的打印和书写应清楚工整，任何签字、行间插字、涂改或增删，必须由投标人的法定代表人或其授权代表签字或盖个人印鉴（签字可用具有法定效力的个人印章代替）不得使用专用章（如经济合同章、投标专用章等）或下属单位印章代替。</w:t>
      </w:r>
    </w:p>
    <w:p>
      <w:pPr>
        <w:spacing w:line="360" w:lineRule="auto"/>
        <w:ind w:firstLine="480" w:firstLineChars="200"/>
        <w:rPr>
          <w:rFonts w:ascii="宋体" w:hAnsi="宋体"/>
          <w:color w:val="000000"/>
          <w:sz w:val="24"/>
        </w:rPr>
      </w:pPr>
      <w:r>
        <w:rPr>
          <w:rFonts w:hint="eastAsia" w:ascii="宋体" w:hAnsi="宋体"/>
          <w:color w:val="000000"/>
          <w:sz w:val="24"/>
        </w:rPr>
        <w:t>18.9 投标文件应根据上述要求制作，签署、盖章和内容完整。</w:t>
      </w:r>
    </w:p>
    <w:p>
      <w:pPr>
        <w:spacing w:line="360" w:lineRule="auto"/>
        <w:ind w:firstLine="480" w:firstLineChars="200"/>
        <w:rPr>
          <w:rFonts w:ascii="宋体" w:hAnsi="宋体"/>
          <w:color w:val="000000"/>
          <w:sz w:val="24"/>
        </w:rPr>
      </w:pPr>
      <w:r>
        <w:rPr>
          <w:rFonts w:hint="eastAsia" w:ascii="宋体" w:hAnsi="宋体"/>
          <w:color w:val="000000"/>
          <w:sz w:val="24"/>
        </w:rPr>
        <w:t>18.10 本招标文件要求的复印件是指对图文进行复制后的文件，包括扫描、复印、影印等方式复制的材料。</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19. 投标文件的密封和标</w:t>
      </w:r>
      <w:bookmarkEnd w:id="127"/>
      <w:bookmarkEnd w:id="128"/>
      <w:bookmarkEnd w:id="129"/>
      <w:bookmarkEnd w:id="130"/>
      <w:r>
        <w:rPr>
          <w:rFonts w:hint="eastAsia" w:ascii="宋体" w:hAnsi="宋体"/>
          <w:b/>
          <w:color w:val="000000"/>
          <w:sz w:val="24"/>
        </w:rPr>
        <w:t>注</w:t>
      </w:r>
      <w:bookmarkEnd w:id="131"/>
      <w:bookmarkEnd w:id="132"/>
    </w:p>
    <w:p>
      <w:pPr>
        <w:tabs>
          <w:tab w:val="left" w:pos="1080"/>
        </w:tabs>
        <w:spacing w:line="360" w:lineRule="auto"/>
        <w:ind w:firstLine="480" w:firstLineChars="200"/>
        <w:rPr>
          <w:rFonts w:ascii="宋体" w:hAnsi="宋体"/>
          <w:color w:val="000000"/>
          <w:sz w:val="24"/>
        </w:rPr>
      </w:pPr>
      <w:r>
        <w:rPr>
          <w:rFonts w:hint="eastAsia" w:ascii="宋体" w:hAnsi="宋体"/>
          <w:color w:val="000000"/>
          <w:sz w:val="24"/>
        </w:rPr>
        <w:t>19.1 投标人应在投标文件正本和所有副本的封面上注明投标人名称、项目编号、项目名称、投标日期、分包号（如有分包）。</w:t>
      </w:r>
    </w:p>
    <w:p>
      <w:pPr>
        <w:tabs>
          <w:tab w:val="left" w:pos="1080"/>
        </w:tabs>
        <w:spacing w:line="360" w:lineRule="auto"/>
        <w:ind w:firstLine="480" w:firstLineChars="200"/>
        <w:rPr>
          <w:rFonts w:ascii="宋体" w:hAnsi="宋体"/>
          <w:color w:val="000000"/>
          <w:sz w:val="24"/>
        </w:rPr>
      </w:pPr>
      <w:r>
        <w:rPr>
          <w:rFonts w:hint="eastAsia" w:ascii="宋体" w:hAnsi="宋体"/>
          <w:color w:val="000000"/>
          <w:sz w:val="24"/>
        </w:rPr>
        <w:t>19.2 资格性投标文件、其他投标文件、用于开标唱标单独提交的开标一览表、电子文档，应分别封装于不同的密封袋内，密封袋的封口处应粘贴牢固，密封袋上应分别标上“资格性投标文件”、“其他投标文件”、“开标一览表”、“电子文档”字样，并注明投标人名称、项目名称、项目编号、分包号（如有分包）、投标日期，并在封口处加盖投标人公章。</w:t>
      </w:r>
    </w:p>
    <w:p>
      <w:pPr>
        <w:spacing w:line="360" w:lineRule="auto"/>
        <w:ind w:firstLine="480" w:firstLineChars="200"/>
        <w:rPr>
          <w:rFonts w:ascii="宋体" w:hAnsi="宋体"/>
          <w:color w:val="000000"/>
          <w:sz w:val="24"/>
        </w:rPr>
      </w:pPr>
      <w:r>
        <w:rPr>
          <w:rFonts w:hint="eastAsia" w:ascii="宋体" w:hAnsi="宋体"/>
          <w:color w:val="000000"/>
          <w:sz w:val="24"/>
        </w:rPr>
        <w:t>19.3 未按照招标文件要求密封的投标文件，采购人、采购代理机构应当拒收。</w:t>
      </w:r>
    </w:p>
    <w:p>
      <w:pPr>
        <w:spacing w:line="360" w:lineRule="auto"/>
        <w:ind w:firstLine="482" w:firstLineChars="200"/>
        <w:outlineLvl w:val="2"/>
        <w:rPr>
          <w:rFonts w:ascii="宋体" w:hAnsi="宋体"/>
          <w:b/>
          <w:color w:val="000000"/>
          <w:sz w:val="24"/>
        </w:rPr>
      </w:pPr>
      <w:bookmarkStart w:id="133" w:name="_Toc183682364"/>
      <w:bookmarkStart w:id="134" w:name="_Toc183582227"/>
      <w:bookmarkStart w:id="135" w:name="_Toc217446054"/>
      <w:bookmarkStart w:id="136" w:name="_Toc21489"/>
      <w:r>
        <w:rPr>
          <w:rFonts w:hint="eastAsia" w:ascii="宋体" w:hAnsi="宋体"/>
          <w:b/>
          <w:color w:val="000000"/>
          <w:sz w:val="24"/>
        </w:rPr>
        <w:t>20．投标文件的</w:t>
      </w:r>
      <w:bookmarkEnd w:id="133"/>
      <w:bookmarkEnd w:id="134"/>
      <w:r>
        <w:rPr>
          <w:rFonts w:hint="eastAsia" w:ascii="宋体" w:hAnsi="宋体"/>
          <w:b/>
          <w:color w:val="000000"/>
          <w:sz w:val="24"/>
        </w:rPr>
        <w:t>递交</w:t>
      </w:r>
      <w:bookmarkEnd w:id="135"/>
      <w:bookmarkEnd w:id="136"/>
    </w:p>
    <w:p>
      <w:pPr>
        <w:spacing w:line="360" w:lineRule="auto"/>
        <w:ind w:firstLine="480" w:firstLineChars="200"/>
        <w:rPr>
          <w:rFonts w:ascii="宋体" w:hAnsi="宋体"/>
          <w:color w:val="000000"/>
          <w:sz w:val="24"/>
        </w:rPr>
      </w:pPr>
      <w:bookmarkStart w:id="137" w:name="_Toc183682365"/>
      <w:bookmarkStart w:id="138" w:name="_Toc183582228"/>
      <w:bookmarkStart w:id="139" w:name="_Toc217446055"/>
      <w:bookmarkStart w:id="140" w:name="_Toc32731"/>
      <w:r>
        <w:rPr>
          <w:rFonts w:hint="eastAsia" w:ascii="宋体" w:hAnsi="宋体"/>
          <w:color w:val="000000"/>
          <w:sz w:val="24"/>
        </w:rPr>
        <w:t>20.1 投标人应在招标文件规定的投标截止时间前，将投标文件按招标文件的规定密封后送达开标地点。</w:t>
      </w:r>
    </w:p>
    <w:p>
      <w:pPr>
        <w:spacing w:line="360" w:lineRule="auto"/>
        <w:ind w:firstLine="480" w:firstLineChars="200"/>
        <w:rPr>
          <w:rFonts w:ascii="宋体" w:hAnsi="宋体"/>
          <w:color w:val="000000"/>
          <w:sz w:val="24"/>
        </w:rPr>
      </w:pPr>
      <w:r>
        <w:rPr>
          <w:rFonts w:hint="eastAsia" w:ascii="宋体" w:hAnsi="宋体"/>
          <w:color w:val="000000"/>
          <w:sz w:val="24"/>
        </w:rPr>
        <w:t>20.2 逾期送达或者未按照招标文件要求密封的投标文件，采购人、采购代理机构应当拒收，并告知投标人不予接收的原因。</w:t>
      </w:r>
    </w:p>
    <w:p>
      <w:pPr>
        <w:spacing w:line="360" w:lineRule="auto"/>
        <w:ind w:firstLine="480" w:firstLineChars="200"/>
        <w:rPr>
          <w:rFonts w:ascii="宋体" w:hAnsi="宋体"/>
          <w:color w:val="000000"/>
          <w:sz w:val="24"/>
        </w:rPr>
      </w:pPr>
      <w:r>
        <w:rPr>
          <w:rFonts w:hint="eastAsia" w:ascii="宋体" w:hAnsi="宋体"/>
          <w:color w:val="000000"/>
          <w:sz w:val="24"/>
        </w:rPr>
        <w:t>20.3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spacing w:line="360" w:lineRule="auto"/>
        <w:ind w:firstLine="480" w:firstLineChars="200"/>
        <w:rPr>
          <w:rFonts w:ascii="宋体" w:hAnsi="宋体"/>
          <w:color w:val="000000"/>
          <w:sz w:val="24"/>
        </w:rPr>
      </w:pPr>
      <w:r>
        <w:rPr>
          <w:rFonts w:hint="eastAsia" w:ascii="宋体" w:hAnsi="宋体"/>
          <w:color w:val="000000"/>
          <w:sz w:val="24"/>
        </w:rPr>
        <w:t>20.4 递交投标文件时，报名投标人名称和招标文件的项目编号、分包号应当与投标投标人名称和招标文件的项目编号、分包号一致。但是，投标文件实质内容报名投标人名称和招标文件的项目编号、分包号一致，只是封面文字错误的，可以在评标过程中当面予以澄清，以有效的澄清材料作为认定投标文件是否有效的依据。</w:t>
      </w:r>
    </w:p>
    <w:p>
      <w:pPr>
        <w:spacing w:line="360" w:lineRule="auto"/>
        <w:ind w:firstLine="480" w:firstLineChars="200"/>
        <w:rPr>
          <w:rFonts w:ascii="宋体" w:hAnsi="宋体"/>
          <w:color w:val="000000"/>
          <w:sz w:val="24"/>
        </w:rPr>
      </w:pPr>
      <w:r>
        <w:rPr>
          <w:rFonts w:hint="eastAsia" w:ascii="宋体" w:hAnsi="宋体"/>
          <w:color w:val="000000"/>
          <w:sz w:val="24"/>
        </w:rPr>
        <w:t>20.5 本次招标不接收邮寄的投标文件。</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21．投标文件的修改和撤</w:t>
      </w:r>
      <w:bookmarkEnd w:id="137"/>
      <w:bookmarkEnd w:id="138"/>
      <w:r>
        <w:rPr>
          <w:rFonts w:hint="eastAsia" w:ascii="宋体" w:hAnsi="宋体"/>
          <w:b/>
          <w:color w:val="000000"/>
          <w:sz w:val="24"/>
        </w:rPr>
        <w:t>回</w:t>
      </w:r>
      <w:bookmarkEnd w:id="139"/>
      <w:bookmarkEnd w:id="140"/>
    </w:p>
    <w:p>
      <w:pPr>
        <w:spacing w:line="360" w:lineRule="auto"/>
        <w:ind w:firstLine="480" w:firstLineChars="200"/>
        <w:rPr>
          <w:rFonts w:ascii="宋体" w:hAnsi="宋体"/>
          <w:color w:val="000000"/>
          <w:sz w:val="24"/>
        </w:rPr>
      </w:pPr>
      <w:bookmarkStart w:id="141" w:name="_Toc12896"/>
      <w:bookmarkStart w:id="142" w:name="_Toc29976"/>
      <w:bookmarkStart w:id="143" w:name="_Toc421005880"/>
      <w:bookmarkStart w:id="144" w:name="_Toc217446065"/>
      <w:bookmarkStart w:id="145" w:name="_Toc183582240"/>
      <w:bookmarkStart w:id="146" w:name="_Toc183682377"/>
      <w:r>
        <w:rPr>
          <w:rFonts w:hint="eastAsia" w:ascii="宋体" w:hAnsi="宋体"/>
          <w:color w:val="000000"/>
          <w:sz w:val="24"/>
        </w:rPr>
        <w:t>21.1 投标人在投标截止时间前，可以对所递交的投标文件进行补充、修改或者撤回，并书面通知采购人或者采购代理机构。补充、修改的内容应当按照招标文件要求签署、盖章、密封后，作为投标文件的组成部分。</w:t>
      </w:r>
    </w:p>
    <w:p>
      <w:pPr>
        <w:spacing w:line="360" w:lineRule="auto"/>
        <w:ind w:firstLine="480" w:firstLineChars="200"/>
        <w:rPr>
          <w:rFonts w:ascii="宋体" w:hAnsi="宋体"/>
          <w:color w:val="000000"/>
          <w:sz w:val="24"/>
        </w:rPr>
      </w:pPr>
      <w:r>
        <w:rPr>
          <w:rFonts w:hint="eastAsia" w:ascii="宋体" w:hAnsi="宋体"/>
          <w:color w:val="000000"/>
          <w:sz w:val="24"/>
        </w:rPr>
        <w:t>21.2 投标人的修改书或撤回通知书，应由其法定代表人或授权代表签署并盖单位印章。修改书应按投标人须知第 19 条规定进行密封和标注，并在密封袋上标注“修改”字样。</w:t>
      </w:r>
    </w:p>
    <w:p>
      <w:pPr>
        <w:spacing w:line="360" w:lineRule="auto"/>
        <w:ind w:firstLine="480" w:firstLineChars="200"/>
        <w:rPr>
          <w:rFonts w:ascii="宋体" w:hAnsi="宋体"/>
          <w:color w:val="000000"/>
          <w:sz w:val="24"/>
        </w:rPr>
      </w:pPr>
      <w:r>
        <w:rPr>
          <w:rFonts w:hint="eastAsia" w:ascii="宋体" w:hAnsi="宋体"/>
          <w:color w:val="000000"/>
          <w:sz w:val="24"/>
        </w:rPr>
        <w:t>21.3 在投标截止时间之后，投标人不得对其递交的投标文件做任何修改，撤回投标的，将按照有关规定进行相应处理。</w:t>
      </w:r>
    </w:p>
    <w:p>
      <w:pPr>
        <w:pStyle w:val="3"/>
        <w:spacing w:after="20"/>
        <w:jc w:val="center"/>
        <w:rPr>
          <w:color w:val="000000"/>
        </w:rPr>
      </w:pPr>
      <w:r>
        <w:rPr>
          <w:rFonts w:hint="eastAsia"/>
          <w:color w:val="000000"/>
        </w:rPr>
        <w:t>五、开标和中标</w:t>
      </w:r>
      <w:bookmarkEnd w:id="141"/>
      <w:bookmarkEnd w:id="142"/>
      <w:bookmarkEnd w:id="143"/>
    </w:p>
    <w:p>
      <w:pPr>
        <w:spacing w:line="360" w:lineRule="auto"/>
        <w:ind w:firstLine="482" w:firstLineChars="200"/>
        <w:outlineLvl w:val="2"/>
        <w:rPr>
          <w:rFonts w:ascii="宋体" w:hAnsi="宋体"/>
          <w:b/>
          <w:color w:val="000000"/>
          <w:sz w:val="24"/>
        </w:rPr>
      </w:pPr>
      <w:bookmarkStart w:id="147" w:name="_Toc217446057"/>
      <w:bookmarkStart w:id="148" w:name="_Toc2683"/>
      <w:bookmarkStart w:id="149" w:name="_Toc183582232"/>
      <w:bookmarkStart w:id="150" w:name="_Toc183682369"/>
      <w:r>
        <w:rPr>
          <w:rFonts w:hint="eastAsia" w:ascii="宋体" w:hAnsi="宋体"/>
          <w:b/>
          <w:color w:val="000000"/>
          <w:sz w:val="24"/>
        </w:rPr>
        <w:t>22．开标</w:t>
      </w:r>
      <w:bookmarkEnd w:id="147"/>
      <w:bookmarkEnd w:id="148"/>
      <w:bookmarkEnd w:id="149"/>
      <w:bookmarkEnd w:id="150"/>
    </w:p>
    <w:p>
      <w:pPr>
        <w:spacing w:before="120" w:line="360" w:lineRule="auto"/>
        <w:ind w:firstLine="480" w:firstLineChars="200"/>
        <w:rPr>
          <w:rFonts w:hint="eastAsia" w:ascii="宋体" w:eastAsia="宋体"/>
          <w:color w:val="000000"/>
          <w:sz w:val="24"/>
          <w:lang w:val="en-US" w:eastAsia="zh-CN"/>
        </w:rPr>
      </w:pPr>
      <w:r>
        <w:rPr>
          <w:rFonts w:hint="eastAsia" w:ascii="宋体" w:hAnsi="宋体" w:cs="宋体"/>
          <w:color w:val="000000"/>
          <w:sz w:val="24"/>
        </w:rPr>
        <w:t>22.1 采购代理机构在招标文件规定的时间和地点组织公开开标，监督人、投标人须派代表参加并签到以证明其出席。</w:t>
      </w:r>
      <w:r>
        <w:rPr>
          <w:rFonts w:hint="eastAsia" w:ascii="宋体"/>
          <w:color w:val="000000"/>
          <w:sz w:val="24"/>
        </w:rPr>
        <w:t>开标由采购代理机构主持，</w:t>
      </w:r>
      <w:r>
        <w:rPr>
          <w:rFonts w:hint="eastAsia" w:ascii="宋体" w:hAnsi="宋体" w:cs="宋体"/>
          <w:color w:val="000000"/>
          <w:sz w:val="24"/>
        </w:rPr>
        <w:t>监督人</w:t>
      </w:r>
      <w:r>
        <w:rPr>
          <w:rFonts w:hint="eastAsia" w:ascii="宋体"/>
          <w:color w:val="000000"/>
          <w:sz w:val="24"/>
        </w:rPr>
        <w:t>、投标人代表参加。采购人代表、评标专家不参加开标活动。投标人未参加开标的，视同认可开标结果。</w:t>
      </w:r>
      <w:r>
        <w:rPr>
          <w:rFonts w:hint="eastAsia" w:ascii="宋体"/>
          <w:color w:val="000000"/>
          <w:sz w:val="24"/>
          <w:lang w:val="en-US" w:eastAsia="zh-CN"/>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22.2 开标时，采购代理机构可以邀请有关监督管理部门对开标进行现场监督。</w:t>
      </w:r>
    </w:p>
    <w:p>
      <w:pPr>
        <w:spacing w:line="360" w:lineRule="auto"/>
        <w:ind w:firstLine="480" w:firstLineChars="200"/>
        <w:rPr>
          <w:rFonts w:ascii="宋体" w:hAnsi="宋体" w:cs="宋体"/>
          <w:color w:val="000000"/>
          <w:sz w:val="24"/>
        </w:rPr>
      </w:pPr>
      <w:r>
        <w:rPr>
          <w:rFonts w:hint="eastAsia" w:ascii="宋体" w:hAnsi="宋体" w:cs="宋体"/>
          <w:color w:val="000000"/>
          <w:sz w:val="24"/>
        </w:rPr>
        <w:t>22.3 开标时，采购代理机构应让投标人对其投标文件的密封情况进行检查。经确认无误后，由招标工作人员将投标人单独递交的“开标一览表”当众拆封，并由唱标人员按照招标文件规定的内容进行宣读。</w:t>
      </w:r>
    </w:p>
    <w:p>
      <w:pPr>
        <w:spacing w:line="360" w:lineRule="auto"/>
        <w:ind w:firstLine="480" w:firstLineChars="200"/>
        <w:rPr>
          <w:rFonts w:ascii="宋体" w:hAnsi="宋体" w:cs="宋体"/>
          <w:color w:val="000000"/>
          <w:sz w:val="24"/>
        </w:rPr>
      </w:pPr>
      <w:r>
        <w:rPr>
          <w:rFonts w:hint="eastAsia" w:ascii="宋体" w:hAnsi="宋体" w:cs="宋体"/>
          <w:color w:val="000000"/>
          <w:sz w:val="24"/>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并在评标时予以认定处理，但不得干扰、阻挠开标工作的正常进行。</w:t>
      </w:r>
    </w:p>
    <w:p>
      <w:pPr>
        <w:spacing w:line="360" w:lineRule="auto"/>
        <w:ind w:firstLine="480" w:firstLineChars="200"/>
        <w:rPr>
          <w:rFonts w:ascii="宋体" w:hAnsi="宋体" w:cs="宋体"/>
          <w:color w:val="000000"/>
          <w:sz w:val="24"/>
        </w:rPr>
      </w:pPr>
      <w:r>
        <w:rPr>
          <w:rFonts w:hint="eastAsia" w:ascii="宋体" w:hAnsi="宋体" w:cs="宋体"/>
          <w:color w:val="000000"/>
          <w:sz w:val="24"/>
        </w:rPr>
        <w:t>22.4 开标时，“开标一览表”中的大写金额与小写金额不一致的，以大写金额为准；总价金额与按单价计算的汇总金额不一致的，以单价计算的汇总金额为准；单价金额有明显小数点错误的，以总价为准，并修改单价。</w:t>
      </w:r>
    </w:p>
    <w:p>
      <w:pPr>
        <w:spacing w:line="360" w:lineRule="auto"/>
        <w:ind w:firstLine="480" w:firstLineChars="200"/>
        <w:rPr>
          <w:rFonts w:ascii="宋体" w:hAnsi="宋体" w:cs="宋体"/>
          <w:color w:val="000000"/>
          <w:sz w:val="24"/>
        </w:rPr>
      </w:pPr>
      <w:r>
        <w:rPr>
          <w:rFonts w:hint="eastAsia" w:ascii="宋体" w:hAnsi="宋体" w:cs="宋体"/>
          <w:color w:val="000000"/>
          <w:sz w:val="24"/>
        </w:rPr>
        <w:t>22.5 投标文件中有关明细表内容与“开标一览表”不一致的，以“开标一览表”为准。对不同文字文本投标文件的解释发生异议的，以中文文本为准。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22.6 所有投标唱标完毕，如投标人代表对宣读的“开标一览表”上的内容有异议的，应在获得开标会主持人同意后当场提出。如确实属于唱标人员宣读错了的，经现场监督人员核实后，当场予以更正。</w:t>
      </w:r>
    </w:p>
    <w:p>
      <w:pPr>
        <w:spacing w:line="360" w:lineRule="auto"/>
        <w:ind w:firstLine="482" w:firstLineChars="200"/>
        <w:outlineLvl w:val="2"/>
        <w:rPr>
          <w:rFonts w:ascii="宋体" w:hAnsi="宋体"/>
          <w:b/>
          <w:color w:val="000000"/>
          <w:sz w:val="24"/>
        </w:rPr>
      </w:pPr>
      <w:bookmarkStart w:id="151" w:name="_Toc217446058"/>
      <w:bookmarkStart w:id="152" w:name="_Toc15323"/>
      <w:r>
        <w:rPr>
          <w:rFonts w:hint="eastAsia" w:ascii="宋体" w:hAnsi="宋体"/>
          <w:b/>
          <w:color w:val="000000"/>
          <w:sz w:val="24"/>
        </w:rPr>
        <w:t>23. 开标程序</w:t>
      </w:r>
      <w:bookmarkEnd w:id="151"/>
      <w:bookmarkEnd w:id="152"/>
    </w:p>
    <w:p>
      <w:pPr>
        <w:spacing w:line="360" w:lineRule="auto"/>
        <w:ind w:firstLine="480" w:firstLineChars="200"/>
        <w:rPr>
          <w:rFonts w:ascii="宋体" w:hAnsi="宋体" w:cs="宋体"/>
          <w:color w:val="000000"/>
          <w:sz w:val="24"/>
        </w:rPr>
      </w:pPr>
      <w:r>
        <w:rPr>
          <w:rFonts w:hint="eastAsia" w:ascii="宋体" w:hAnsi="宋体" w:cs="宋体"/>
          <w:color w:val="000000"/>
          <w:sz w:val="24"/>
        </w:rPr>
        <w:t>开标会主持人按照招标文件规定的开标时间宣布开标，按照规定要求主持开标会。开标将按以下程序进行：</w:t>
      </w:r>
    </w:p>
    <w:p>
      <w:pPr>
        <w:spacing w:line="360" w:lineRule="auto"/>
        <w:ind w:firstLine="480" w:firstLineChars="200"/>
        <w:rPr>
          <w:rFonts w:ascii="宋体" w:hAnsi="宋体" w:cs="宋体"/>
          <w:color w:val="000000"/>
          <w:sz w:val="24"/>
        </w:rPr>
      </w:pPr>
      <w:r>
        <w:rPr>
          <w:rFonts w:hint="eastAsia" w:ascii="宋体" w:hAnsi="宋体" w:cs="宋体"/>
          <w:color w:val="000000"/>
          <w:sz w:val="24"/>
        </w:rPr>
        <w:t>（1）宣布开标会开始。当众宣布参加开标会主持人（唱标人）、会议记录人以及根据情况邀请的现场监督人等工作人员，根据“投标文件递交登记表”宣布参加投标的投标人名单。</w:t>
      </w:r>
    </w:p>
    <w:p>
      <w:pPr>
        <w:spacing w:line="360" w:lineRule="auto"/>
        <w:ind w:firstLine="480" w:firstLineChars="200"/>
        <w:rPr>
          <w:rFonts w:ascii="宋体" w:hAnsi="宋体" w:cs="宋体"/>
          <w:color w:val="000000"/>
          <w:sz w:val="24"/>
        </w:rPr>
      </w:pPr>
      <w:r>
        <w:rPr>
          <w:rFonts w:hint="eastAsia" w:ascii="宋体" w:hAnsi="宋体" w:cs="宋体"/>
          <w:color w:val="000000"/>
          <w:sz w:val="24"/>
        </w:rPr>
        <w:t>（2）宣布会场纪律和有关注意事项，根据投标人或者其推选的代表对投标文件密封的检查结果，当众宣布投标文件的密封情况。</w:t>
      </w:r>
    </w:p>
    <w:p>
      <w:pPr>
        <w:spacing w:line="360" w:lineRule="auto"/>
        <w:ind w:firstLine="480" w:firstLineChars="200"/>
        <w:rPr>
          <w:rFonts w:ascii="宋体" w:hAnsi="宋体" w:cs="宋体"/>
          <w:color w:val="000000"/>
          <w:sz w:val="24"/>
        </w:rPr>
      </w:pPr>
      <w:r>
        <w:rPr>
          <w:rFonts w:hint="eastAsia" w:ascii="宋体" w:hAnsi="宋体" w:cs="宋体"/>
          <w:color w:val="000000"/>
          <w:sz w:val="24"/>
        </w:rPr>
        <w:t>（3）开标唱标。主持人宣布开标后，由现场工作人员按任意顺序对单独用于开标唱标的“开标一览表”当众进行拆封，由唱标人员宣读投标人名称、投标价格和投标文件的其他主要内容。未宣读的投标价格等实质内容，评标时不予承认。同时，做好开标记录。唱标人员在唱标过程中，如遇有字迹不清楚的，应即刻报告主持人，经工作人员和现场监督人员核实后，主持人立即请投标人代表现场进行澄清或确认。</w:t>
      </w:r>
    </w:p>
    <w:p>
      <w:pPr>
        <w:spacing w:line="360" w:lineRule="auto"/>
        <w:ind w:firstLine="480" w:firstLineChars="200"/>
        <w:rPr>
          <w:rFonts w:ascii="宋体" w:hAnsi="宋体" w:cs="宋体"/>
          <w:color w:val="000000"/>
          <w:sz w:val="24"/>
        </w:rPr>
      </w:pPr>
      <w:r>
        <w:rPr>
          <w:rFonts w:hint="eastAsia" w:ascii="宋体" w:hAnsi="宋体" w:cs="宋体"/>
          <w:color w:val="000000"/>
          <w:sz w:val="24"/>
        </w:rPr>
        <w:t>（4）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p>
    <w:p>
      <w:pPr>
        <w:spacing w:line="360" w:lineRule="auto"/>
        <w:ind w:firstLine="480" w:firstLineChars="200"/>
        <w:rPr>
          <w:rFonts w:ascii="宋体"/>
          <w:color w:val="000000"/>
          <w:sz w:val="24"/>
        </w:rPr>
      </w:pPr>
      <w:r>
        <w:rPr>
          <w:rFonts w:hint="eastAsia" w:ascii="宋体" w:hAnsi="宋体" w:cs="宋体"/>
          <w:color w:val="000000"/>
          <w:sz w:val="24"/>
        </w:rPr>
        <w:t>（5）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w:t>
      </w:r>
      <w:r>
        <w:rPr>
          <w:rFonts w:hint="eastAsia" w:ascii="宋体" w:hAnsi="宋体" w:cs="宋体"/>
          <w:color w:val="000000"/>
          <w:sz w:val="24"/>
          <w:lang w:eastAsia="zh-CN"/>
        </w:rPr>
        <w:t>中国政府采购网</w:t>
      </w:r>
      <w:r>
        <w:rPr>
          <w:rFonts w:hint="eastAsia" w:ascii="宋体" w:hAnsi="宋体" w:cs="宋体"/>
          <w:color w:val="000000"/>
          <w:sz w:val="24"/>
        </w:rPr>
        <w:t>网查询。</w:t>
      </w:r>
    </w:p>
    <w:p>
      <w:pPr>
        <w:spacing w:line="360" w:lineRule="auto"/>
        <w:ind w:firstLine="482" w:firstLineChars="200"/>
        <w:outlineLvl w:val="2"/>
        <w:rPr>
          <w:rFonts w:ascii="宋体" w:hAnsi="宋体"/>
          <w:b/>
          <w:color w:val="000000"/>
          <w:sz w:val="24"/>
        </w:rPr>
      </w:pPr>
      <w:bookmarkStart w:id="153" w:name="_Toc183582238"/>
      <w:bookmarkStart w:id="154" w:name="_Toc183682375"/>
      <w:bookmarkStart w:id="155" w:name="_Toc8344"/>
      <w:bookmarkStart w:id="156" w:name="_Toc217446063"/>
      <w:r>
        <w:rPr>
          <w:rFonts w:hint="eastAsia" w:ascii="宋体" w:hAnsi="宋体"/>
          <w:b/>
          <w:color w:val="000000"/>
          <w:sz w:val="24"/>
        </w:rPr>
        <w:t>24．开评标过程存档</w:t>
      </w:r>
    </w:p>
    <w:p>
      <w:pPr>
        <w:spacing w:line="360" w:lineRule="auto"/>
        <w:ind w:firstLine="480" w:firstLineChars="200"/>
        <w:rPr>
          <w:rFonts w:ascii="宋体"/>
          <w:color w:val="000000"/>
          <w:sz w:val="24"/>
        </w:rPr>
      </w:pPr>
      <w:r>
        <w:rPr>
          <w:rFonts w:hint="eastAsia" w:ascii="宋体"/>
          <w:color w:val="000000"/>
          <w:sz w:val="24"/>
        </w:rPr>
        <w:t>开标和评标过程进行全过程电子监控，并将电子监控资料存储介质留存归档。</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25.评标情况公告</w:t>
      </w:r>
    </w:p>
    <w:p>
      <w:pPr>
        <w:spacing w:line="360" w:lineRule="auto"/>
        <w:ind w:firstLine="480" w:firstLineChars="200"/>
        <w:rPr>
          <w:rFonts w:ascii="宋体" w:hAnsi="宋体"/>
          <w:color w:val="000000"/>
          <w:sz w:val="24"/>
        </w:rPr>
      </w:pPr>
      <w:r>
        <w:rPr>
          <w:rFonts w:hint="eastAsia" w:ascii="宋体" w:hAnsi="宋体"/>
          <w:color w:val="000000"/>
          <w:sz w:val="24"/>
        </w:rPr>
        <w:t>所有投标人投标文件资格性、符合性检查情况、采用综合评分法时的总得分和分项汇总得分情况、评标结果等将在</w:t>
      </w:r>
      <w:r>
        <w:rPr>
          <w:rFonts w:hint="eastAsia" w:ascii="宋体" w:hAnsi="宋体"/>
          <w:color w:val="000000"/>
          <w:sz w:val="24"/>
          <w:lang w:eastAsia="zh-CN"/>
        </w:rPr>
        <w:t>中国政府采购网</w:t>
      </w:r>
      <w:r>
        <w:rPr>
          <w:rFonts w:hint="eastAsia" w:ascii="宋体" w:hAnsi="宋体"/>
          <w:color w:val="000000"/>
          <w:sz w:val="24"/>
        </w:rPr>
        <w:t>上采购结果公告栏中予以公告。</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26．中标通知</w:t>
      </w:r>
      <w:bookmarkEnd w:id="153"/>
      <w:bookmarkEnd w:id="154"/>
      <w:r>
        <w:rPr>
          <w:rFonts w:hint="eastAsia" w:ascii="宋体" w:hAnsi="宋体"/>
          <w:b/>
          <w:color w:val="000000"/>
          <w:sz w:val="24"/>
        </w:rPr>
        <w:t>书</w:t>
      </w:r>
      <w:bookmarkEnd w:id="155"/>
      <w:bookmarkEnd w:id="156"/>
    </w:p>
    <w:p>
      <w:pPr>
        <w:spacing w:line="360" w:lineRule="auto"/>
        <w:ind w:firstLine="480" w:firstLineChars="200"/>
        <w:rPr>
          <w:rFonts w:ascii="宋体" w:hAnsi="宋体" w:cs="宋体"/>
          <w:color w:val="000000"/>
          <w:sz w:val="24"/>
        </w:rPr>
      </w:pPr>
      <w:r>
        <w:rPr>
          <w:rFonts w:hint="eastAsia" w:ascii="宋体" w:hAnsi="宋体" w:cs="宋体"/>
          <w:color w:val="000000"/>
          <w:sz w:val="24"/>
        </w:rPr>
        <w:t>26.1 中标通知书为签订政府采购合同的依据之一，是合同的有效组成部分。中标通知书须在采购人对评审结果确认之后由采购代理机构发出。</w:t>
      </w:r>
    </w:p>
    <w:p>
      <w:pPr>
        <w:spacing w:line="360" w:lineRule="auto"/>
        <w:ind w:firstLine="480" w:firstLineChars="200"/>
        <w:rPr>
          <w:rFonts w:ascii="宋体" w:hAnsi="宋体" w:cs="宋体"/>
          <w:color w:val="000000"/>
          <w:sz w:val="24"/>
        </w:rPr>
      </w:pPr>
      <w:r>
        <w:rPr>
          <w:rFonts w:hint="eastAsia" w:ascii="宋体" w:hAnsi="宋体" w:cs="宋体"/>
          <w:color w:val="000000"/>
          <w:sz w:val="24"/>
        </w:rPr>
        <w:t>26.2 投标人中标后，拒绝领取中标通知书的，招标采购单位将于中标投标人确定之日起两个工作日内采取邮寄、快递方式按照投标人投标文件中的地址发出中标通知书。</w:t>
      </w:r>
    </w:p>
    <w:p>
      <w:pPr>
        <w:spacing w:line="360" w:lineRule="auto"/>
        <w:ind w:firstLine="480" w:firstLineChars="200"/>
        <w:rPr>
          <w:rFonts w:ascii="宋体" w:hAnsi="宋体" w:cs="宋体"/>
          <w:color w:val="000000"/>
          <w:sz w:val="24"/>
        </w:rPr>
      </w:pPr>
      <w:r>
        <w:rPr>
          <w:rFonts w:hint="eastAsia" w:ascii="宋体" w:hAnsi="宋体" w:cs="宋体"/>
          <w:color w:val="000000"/>
          <w:sz w:val="24"/>
        </w:rPr>
        <w:t>26.3 中标通知书对采购人和中标人均具有法律效力。中标通知书发出后，采购人改变中标结果，或者中标人无正当理由放弃中标的，应当承担相应的法律责任。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26.4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pPr>
        <w:spacing w:line="360" w:lineRule="auto"/>
        <w:ind w:firstLine="480" w:firstLineChars="200"/>
        <w:rPr>
          <w:rFonts w:ascii="宋体" w:hAnsi="宋体" w:cs="宋体"/>
          <w:color w:val="000000"/>
          <w:sz w:val="24"/>
        </w:rPr>
      </w:pPr>
      <w:r>
        <w:rPr>
          <w:rFonts w:hint="eastAsia" w:ascii="宋体"/>
          <w:color w:val="000000"/>
          <w:sz w:val="24"/>
        </w:rPr>
        <w:t>26.5中标公告发出后，中标投标人凭单位介绍信和经办人有效身份证明证件原件和复印件加盖单位公章到招标代理公司领取中标通知书。</w:t>
      </w:r>
    </w:p>
    <w:p>
      <w:pPr>
        <w:pStyle w:val="3"/>
        <w:spacing w:after="20"/>
        <w:jc w:val="center"/>
        <w:rPr>
          <w:color w:val="000000"/>
        </w:rPr>
      </w:pPr>
      <w:bookmarkStart w:id="157" w:name="_Toc421005881"/>
      <w:bookmarkStart w:id="158" w:name="_Toc2785"/>
      <w:bookmarkStart w:id="159" w:name="_Toc22007"/>
      <w:r>
        <w:rPr>
          <w:rFonts w:hint="eastAsia"/>
          <w:color w:val="000000"/>
        </w:rPr>
        <w:t>六、签订及履行合同和验收</w:t>
      </w:r>
      <w:bookmarkEnd w:id="157"/>
      <w:bookmarkEnd w:id="158"/>
      <w:bookmarkEnd w:id="159"/>
      <w:bookmarkStart w:id="160" w:name="_Toc24711"/>
      <w:bookmarkStart w:id="161" w:name="_Toc22585"/>
      <w:bookmarkStart w:id="162" w:name="_Toc421005882"/>
    </w:p>
    <w:p>
      <w:pPr>
        <w:spacing w:line="360" w:lineRule="auto"/>
        <w:ind w:firstLine="482" w:firstLineChars="200"/>
        <w:outlineLvl w:val="2"/>
        <w:rPr>
          <w:rFonts w:ascii="宋体" w:hAnsi="宋体"/>
          <w:b/>
          <w:color w:val="000000"/>
          <w:sz w:val="24"/>
        </w:rPr>
      </w:pPr>
      <w:r>
        <w:rPr>
          <w:rFonts w:hint="eastAsia" w:ascii="宋体" w:hAnsi="宋体"/>
          <w:b/>
          <w:color w:val="000000"/>
          <w:sz w:val="24"/>
        </w:rPr>
        <w:t>27. 签订合同</w:t>
      </w:r>
      <w:bookmarkEnd w:id="144"/>
      <w:bookmarkEnd w:id="160"/>
      <w:bookmarkEnd w:id="161"/>
      <w:bookmarkEnd w:id="162"/>
    </w:p>
    <w:p>
      <w:pPr>
        <w:spacing w:line="360" w:lineRule="auto"/>
        <w:ind w:firstLine="480" w:firstLineChars="200"/>
        <w:rPr>
          <w:rFonts w:ascii="宋体" w:hAnsi="宋体" w:cs="宋体"/>
          <w:color w:val="000000"/>
          <w:sz w:val="24"/>
        </w:rPr>
      </w:pPr>
      <w:r>
        <w:rPr>
          <w:rFonts w:hint="eastAsia" w:ascii="宋体" w:hAnsi="宋体" w:cs="宋体"/>
          <w:color w:val="000000"/>
          <w:sz w:val="24"/>
        </w:rPr>
        <w:t>27.1中标人在收到招标人发出的《中标通知书》后，应在规定的时间内与采购人签订采购合同。由于中标人的原因逾期未与采购人签订采购合同的，将视为放弃中标，取消其中标资格并将按相关规定进行处理。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27.2 采购人不得向中标人提出任何不合理的要求，作为签订合同的条件，不得与中标人私下订立背离合同实质性内容的任何协议，所签订的合同不得对招标文件和中标人投标文件作实质性修改。</w:t>
      </w:r>
    </w:p>
    <w:p>
      <w:pPr>
        <w:spacing w:line="360" w:lineRule="auto"/>
        <w:ind w:firstLine="480" w:firstLineChars="200"/>
        <w:rPr>
          <w:rFonts w:ascii="宋体" w:hAnsi="宋体" w:cs="宋体"/>
          <w:color w:val="000000"/>
          <w:sz w:val="24"/>
        </w:rPr>
      </w:pPr>
      <w:r>
        <w:rPr>
          <w:rFonts w:hint="eastAsia" w:ascii="宋体" w:hAnsi="宋体" w:cs="宋体"/>
          <w:color w:val="000000"/>
          <w:sz w:val="24"/>
        </w:rPr>
        <w:t>27.3 中标人因不可抗力原因不能履行采购合同或放弃中标的，采购人可以与排在中标人之后第一位的中标候选人签订采购合同，以此类推。</w:t>
      </w:r>
    </w:p>
    <w:p>
      <w:pPr>
        <w:spacing w:line="360" w:lineRule="auto"/>
        <w:ind w:firstLine="480" w:firstLineChars="200"/>
        <w:rPr>
          <w:rFonts w:ascii="宋体" w:hAnsi="宋体" w:cs="宋体"/>
          <w:color w:val="000000"/>
          <w:sz w:val="24"/>
        </w:rPr>
      </w:pPr>
      <w:r>
        <w:rPr>
          <w:rFonts w:hint="eastAsia" w:ascii="宋体" w:hAnsi="宋体" w:cs="宋体"/>
          <w:color w:val="000000"/>
          <w:sz w:val="24"/>
        </w:rPr>
        <w:t>27.4 中标人在合同签订之后三个工作日内，将签订的合同原件（一份）送采购代理机构招标部留存。</w:t>
      </w:r>
    </w:p>
    <w:p>
      <w:pPr>
        <w:spacing w:line="360" w:lineRule="auto"/>
        <w:ind w:firstLine="482" w:firstLineChars="200"/>
        <w:outlineLvl w:val="2"/>
        <w:rPr>
          <w:rFonts w:ascii="宋体" w:hAnsi="宋体"/>
          <w:b/>
          <w:color w:val="000000"/>
          <w:sz w:val="24"/>
        </w:rPr>
      </w:pPr>
      <w:bookmarkStart w:id="163" w:name="_Toc129"/>
      <w:bookmarkStart w:id="164" w:name="_Toc217446066"/>
      <w:bookmarkStart w:id="165" w:name="_Toc23356"/>
      <w:bookmarkStart w:id="166" w:name="_Toc421005883"/>
      <w:r>
        <w:rPr>
          <w:rFonts w:hint="eastAsia" w:ascii="宋体" w:hAnsi="宋体"/>
          <w:b/>
          <w:color w:val="000000"/>
          <w:sz w:val="24"/>
        </w:rPr>
        <w:t>28. 合同分包</w:t>
      </w:r>
      <w:bookmarkEnd w:id="163"/>
      <w:bookmarkEnd w:id="164"/>
      <w:bookmarkEnd w:id="165"/>
      <w:bookmarkEnd w:id="166"/>
      <w:r>
        <w:rPr>
          <w:rFonts w:hint="eastAsia" w:ascii="宋体" w:hAnsi="宋体"/>
          <w:b/>
          <w:color w:val="000000"/>
          <w:sz w:val="24"/>
        </w:rPr>
        <w:t>（实质性要求）</w:t>
      </w:r>
    </w:p>
    <w:p>
      <w:pPr>
        <w:spacing w:line="360" w:lineRule="auto"/>
        <w:ind w:firstLine="480" w:firstLineChars="200"/>
        <w:rPr>
          <w:rFonts w:ascii="宋体" w:hAnsi="宋体" w:cs="宋体"/>
          <w:color w:val="000000"/>
          <w:sz w:val="24"/>
        </w:rPr>
      </w:pPr>
      <w:bookmarkStart w:id="167" w:name="_Toc27176"/>
      <w:bookmarkStart w:id="168" w:name="_Toc421005886"/>
      <w:bookmarkStart w:id="169" w:name="_Toc25072"/>
      <w:bookmarkStart w:id="170" w:name="_Toc217446069"/>
      <w:r>
        <w:rPr>
          <w:rFonts w:hint="eastAsia" w:ascii="宋体" w:hAnsi="宋体" w:cs="宋体"/>
          <w:color w:val="000000"/>
          <w:sz w:val="24"/>
        </w:rPr>
        <w:t>28.1 经采购人同意，中标人可以依法采取分包方式履行合同。这种要求应当在合同签订之前征得采购人同意，并且分包投标人履行的分包项目的品牌、规格型号及技术要求等，必须与中标的一致。</w:t>
      </w:r>
    </w:p>
    <w:p>
      <w:pPr>
        <w:spacing w:line="360" w:lineRule="auto"/>
        <w:ind w:firstLine="480" w:firstLineChars="200"/>
        <w:rPr>
          <w:rFonts w:ascii="宋体" w:hAnsi="宋体" w:cs="宋体"/>
          <w:color w:val="000000"/>
          <w:sz w:val="24"/>
        </w:rPr>
      </w:pPr>
      <w:r>
        <w:rPr>
          <w:rFonts w:hint="eastAsia" w:ascii="宋体" w:hAnsi="宋体" w:cs="宋体"/>
          <w:color w:val="000000"/>
          <w:sz w:val="24"/>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ind w:firstLine="480" w:firstLineChars="200"/>
        <w:rPr>
          <w:rFonts w:ascii="宋体" w:hAnsi="宋体" w:cs="宋体"/>
          <w:color w:val="000000"/>
          <w:sz w:val="24"/>
        </w:rPr>
      </w:pPr>
      <w:r>
        <w:rPr>
          <w:rFonts w:hint="eastAsia" w:ascii="宋体" w:hAnsi="宋体" w:cs="宋体"/>
          <w:color w:val="000000"/>
          <w:sz w:val="24"/>
        </w:rPr>
        <w:t>28.2 采购合同实行分包履行的，中标人就采购项目和分包项目向采购人负责，分包投标人就分包项目承担责任。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28.3 中小企业依据《政府采购促进中小企业发展管理办法》（财库</w:t>
      </w:r>
      <w:r>
        <w:rPr>
          <w:rFonts w:ascii="宋体" w:hAnsi="宋体" w:cs="宋体"/>
          <w:color w:val="000000"/>
          <w:sz w:val="24"/>
        </w:rPr>
        <w:t>[2020]46</w:t>
      </w:r>
      <w:r>
        <w:rPr>
          <w:rFonts w:hint="eastAsia" w:ascii="宋体" w:hAnsi="宋体" w:cs="宋体"/>
          <w:color w:val="000000"/>
          <w:sz w:val="24"/>
        </w:rPr>
        <w:t>号）</w:t>
      </w:r>
      <w:r>
        <w:rPr>
          <w:rFonts w:ascii="宋体" w:hAnsi="宋体" w:cs="宋体"/>
          <w:color w:val="000000"/>
          <w:sz w:val="24"/>
        </w:rPr>
        <w:t xml:space="preserve"> </w:t>
      </w:r>
      <w:r>
        <w:rPr>
          <w:rFonts w:hint="eastAsia" w:ascii="宋体" w:hAnsi="宋体" w:cs="宋体"/>
          <w:color w:val="000000"/>
          <w:sz w:val="24"/>
        </w:rPr>
        <w:t>规定的政策获取政府采购合同后，小型、微型企业不得分包或转包给大型、中型企业，中型企业不得分包或转包给大型企业。</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29.合同转包（实质性要求）</w:t>
      </w:r>
    </w:p>
    <w:p>
      <w:pPr>
        <w:spacing w:line="360" w:lineRule="auto"/>
        <w:ind w:firstLine="480" w:firstLineChars="200"/>
        <w:rPr>
          <w:rFonts w:ascii="宋体"/>
          <w:color w:val="000000"/>
          <w:sz w:val="24"/>
        </w:rPr>
      </w:pPr>
      <w:r>
        <w:rPr>
          <w:rFonts w:hint="eastAsia" w:ascii="宋体"/>
          <w:color w:val="000000"/>
          <w:sz w:val="24"/>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spacing w:line="360" w:lineRule="auto"/>
        <w:ind w:firstLine="540" w:firstLineChars="225"/>
        <w:rPr>
          <w:rFonts w:ascii="宋体"/>
          <w:color w:val="000000"/>
          <w:sz w:val="24"/>
        </w:rPr>
      </w:pPr>
      <w:r>
        <w:rPr>
          <w:rFonts w:hint="eastAsia" w:ascii="宋体"/>
          <w:color w:val="000000"/>
          <w:sz w:val="24"/>
        </w:rPr>
        <w:t>中标人转包的，视同拒绝履行政府采购合同义务，将依法追究法律责任。</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30.补充合同</w:t>
      </w:r>
    </w:p>
    <w:p>
      <w:pPr>
        <w:spacing w:line="360" w:lineRule="auto"/>
        <w:ind w:firstLine="480" w:firstLineChars="200"/>
        <w:rPr>
          <w:rFonts w:ascii="宋体"/>
          <w:color w:val="000000"/>
          <w:sz w:val="24"/>
        </w:rPr>
      </w:pPr>
      <w:r>
        <w:rPr>
          <w:rFonts w:hint="eastAsia" w:ascii="宋体"/>
          <w:color w:val="000000"/>
          <w:sz w:val="24"/>
        </w:rPr>
        <w:t xml:space="preserve">采购合同履行过程中，采购人需要追加与合同标的相同的货物或者服务的，在不改变合同其他条款的前提下，可以与中标投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31.</w:t>
      </w:r>
      <w:bookmarkEnd w:id="167"/>
      <w:bookmarkEnd w:id="168"/>
      <w:bookmarkEnd w:id="169"/>
      <w:bookmarkEnd w:id="170"/>
      <w:r>
        <w:rPr>
          <w:rFonts w:hint="eastAsia" w:ascii="宋体" w:hAnsi="宋体"/>
          <w:b/>
          <w:color w:val="000000"/>
          <w:sz w:val="24"/>
        </w:rPr>
        <w:t>履约保证金</w:t>
      </w:r>
    </w:p>
    <w:p>
      <w:pPr>
        <w:spacing w:line="360" w:lineRule="auto"/>
        <w:ind w:firstLine="480" w:firstLineChars="200"/>
        <w:rPr>
          <w:rFonts w:ascii="宋体"/>
          <w:color w:val="auto"/>
          <w:sz w:val="24"/>
          <w:lang w:val="zh-CN"/>
        </w:rPr>
      </w:pPr>
      <w:bookmarkStart w:id="171" w:name="_Toc308164813"/>
      <w:bookmarkStart w:id="172" w:name="_Toc421005887"/>
      <w:bookmarkStart w:id="173" w:name="_Toc217446070"/>
      <w:bookmarkStart w:id="174" w:name="_Toc6103"/>
      <w:bookmarkStart w:id="175" w:name="_Toc30831"/>
      <w:r>
        <w:rPr>
          <w:rFonts w:hint="eastAsia" w:ascii="宋体" w:hAnsi="宋体"/>
          <w:color w:val="auto"/>
          <w:sz w:val="24"/>
        </w:rPr>
        <w:t>本项目提交</w:t>
      </w:r>
      <w:r>
        <w:rPr>
          <w:rFonts w:hint="eastAsia" w:ascii="宋体" w:hAnsi="宋体"/>
          <w:color w:val="auto"/>
          <w:sz w:val="24"/>
          <w:lang w:val="en-US" w:eastAsia="zh-CN"/>
        </w:rPr>
        <w:t>5%</w:t>
      </w:r>
      <w:r>
        <w:rPr>
          <w:rFonts w:hint="eastAsia" w:ascii="宋体" w:hAnsi="宋体"/>
          <w:color w:val="auto"/>
          <w:sz w:val="24"/>
        </w:rPr>
        <w:t>履约保证金</w:t>
      </w:r>
      <w:r>
        <w:rPr>
          <w:rFonts w:hint="eastAsia" w:ascii="宋体"/>
          <w:color w:val="auto"/>
          <w:sz w:val="24"/>
          <w:lang w:val="zh-CN"/>
        </w:rPr>
        <w:t>。</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2</w:t>
      </w:r>
      <w:r>
        <w:rPr>
          <w:rFonts w:hint="eastAsia" w:ascii="宋体" w:hAnsi="宋体"/>
          <w:b/>
          <w:color w:val="000000"/>
          <w:sz w:val="24"/>
        </w:rPr>
        <w:t>. 履行合同</w:t>
      </w:r>
      <w:bookmarkEnd w:id="171"/>
    </w:p>
    <w:p>
      <w:pPr>
        <w:spacing w:line="360" w:lineRule="auto"/>
        <w:rPr>
          <w:rFonts w:ascii="宋体"/>
          <w:color w:val="000000"/>
          <w:sz w:val="24"/>
        </w:rPr>
      </w:pPr>
      <w:r>
        <w:rPr>
          <w:rFonts w:hint="eastAsia" w:ascii="宋体"/>
          <w:color w:val="000000"/>
          <w:sz w:val="24"/>
        </w:rPr>
        <w:t xml:space="preserve">   3</w:t>
      </w:r>
      <w:r>
        <w:rPr>
          <w:rFonts w:hint="eastAsia" w:ascii="宋体"/>
          <w:color w:val="000000"/>
          <w:sz w:val="24"/>
          <w:lang w:val="en-US" w:eastAsia="zh-CN"/>
        </w:rPr>
        <w:t>2</w:t>
      </w:r>
      <w:r>
        <w:rPr>
          <w:rFonts w:hint="eastAsia" w:ascii="宋体"/>
          <w:color w:val="000000"/>
          <w:sz w:val="24"/>
        </w:rPr>
        <w:t>.1 中标人与采购人签订合同后，合同双方应严格执行合同条款，履行合同规定的义务，保证合同的顺利完成。</w:t>
      </w:r>
    </w:p>
    <w:p>
      <w:pPr>
        <w:spacing w:line="360" w:lineRule="auto"/>
        <w:rPr>
          <w:rFonts w:ascii="宋体"/>
          <w:color w:val="000000"/>
          <w:sz w:val="24"/>
        </w:rPr>
      </w:pPr>
      <w:r>
        <w:rPr>
          <w:rFonts w:hint="eastAsia" w:ascii="宋体"/>
          <w:color w:val="000000"/>
          <w:sz w:val="24"/>
        </w:rPr>
        <w:t xml:space="preserve">   3</w:t>
      </w:r>
      <w:r>
        <w:rPr>
          <w:rFonts w:hint="eastAsia" w:ascii="宋体"/>
          <w:color w:val="000000"/>
          <w:sz w:val="24"/>
          <w:lang w:val="en-US" w:eastAsia="zh-CN"/>
        </w:rPr>
        <w:t>2</w:t>
      </w:r>
      <w:r>
        <w:rPr>
          <w:rFonts w:hint="eastAsia" w:ascii="宋体"/>
          <w:color w:val="000000"/>
          <w:sz w:val="24"/>
        </w:rPr>
        <w:t>.2 在合同履行过程中，如发生合同纠纷，合同双方应按照《合同法》的有关规定进行处理。</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3</w:t>
      </w:r>
      <w:r>
        <w:rPr>
          <w:rFonts w:hint="eastAsia" w:ascii="宋体" w:hAnsi="宋体"/>
          <w:b/>
          <w:color w:val="000000"/>
          <w:sz w:val="24"/>
        </w:rPr>
        <w:t>.验收</w:t>
      </w:r>
      <w:bookmarkEnd w:id="172"/>
      <w:bookmarkEnd w:id="173"/>
      <w:bookmarkEnd w:id="174"/>
      <w:bookmarkEnd w:id="175"/>
    </w:p>
    <w:bookmarkEnd w:id="145"/>
    <w:bookmarkEnd w:id="146"/>
    <w:p>
      <w:pPr>
        <w:spacing w:line="360" w:lineRule="auto"/>
        <w:ind w:firstLine="480" w:firstLineChars="200"/>
        <w:rPr>
          <w:rFonts w:ascii="宋体" w:hAnsi="宋体" w:cs="宋体"/>
          <w:color w:val="000000"/>
          <w:sz w:val="24"/>
        </w:rPr>
      </w:pPr>
      <w:bookmarkStart w:id="176" w:name="_Toc421005888"/>
      <w:bookmarkStart w:id="177" w:name="_Toc525"/>
      <w:bookmarkStart w:id="178" w:name="_Toc217446074"/>
      <w:bookmarkStart w:id="179" w:name="_Toc183682380"/>
      <w:bookmarkStart w:id="180" w:name="_Toc183582243"/>
      <w:r>
        <w:rPr>
          <w:rFonts w:hint="eastAsia" w:ascii="宋体" w:hAnsi="宋体" w:cs="宋体"/>
          <w:color w:val="000000"/>
          <w:sz w:val="24"/>
        </w:rPr>
        <w:t>严格按照《财政部关于进一步加强政府采购需求和履约验收管理的指导意见》（财库〔2016〕205号）以及主管部门的相关要求进行验收。</w:t>
      </w:r>
    </w:p>
    <w:p>
      <w:pPr>
        <w:spacing w:line="360" w:lineRule="auto"/>
        <w:ind w:firstLine="482" w:firstLineChars="200"/>
        <w:outlineLvl w:val="2"/>
        <w:rPr>
          <w:rFonts w:ascii="宋体" w:hAnsi="宋体"/>
          <w:b/>
          <w:color w:val="000000"/>
          <w:sz w:val="24"/>
        </w:rPr>
      </w:pPr>
      <w:bookmarkStart w:id="181" w:name="_Toc308164818"/>
      <w:r>
        <w:rPr>
          <w:rFonts w:hint="eastAsia" w:ascii="宋体" w:hAnsi="宋体"/>
          <w:b/>
          <w:color w:val="000000"/>
          <w:sz w:val="24"/>
        </w:rPr>
        <w:t>3</w:t>
      </w:r>
      <w:r>
        <w:rPr>
          <w:rFonts w:hint="eastAsia" w:ascii="宋体" w:hAnsi="宋体"/>
          <w:b/>
          <w:color w:val="000000"/>
          <w:sz w:val="24"/>
          <w:lang w:val="en-US" w:eastAsia="zh-CN"/>
        </w:rPr>
        <w:t>4</w:t>
      </w:r>
      <w:r>
        <w:rPr>
          <w:rFonts w:hint="eastAsia" w:ascii="宋体" w:hAnsi="宋体"/>
          <w:b/>
          <w:color w:val="000000"/>
          <w:sz w:val="24"/>
        </w:rPr>
        <w:t>.资金支付</w:t>
      </w:r>
      <w:bookmarkEnd w:id="181"/>
    </w:p>
    <w:p>
      <w:pPr>
        <w:spacing w:line="360" w:lineRule="auto"/>
        <w:ind w:firstLine="480" w:firstLineChars="200"/>
        <w:rPr>
          <w:rFonts w:ascii="宋体"/>
          <w:color w:val="000000"/>
          <w:sz w:val="24"/>
        </w:rPr>
      </w:pPr>
      <w:r>
        <w:rPr>
          <w:rFonts w:hint="eastAsia" w:ascii="宋体"/>
          <w:color w:val="000000"/>
          <w:sz w:val="24"/>
        </w:rPr>
        <w:t>采购人将按照</w:t>
      </w:r>
      <w:r>
        <w:rPr>
          <w:rFonts w:hint="eastAsia" w:ascii="宋体"/>
          <w:color w:val="000000"/>
          <w:sz w:val="24"/>
          <w:highlight w:val="yellow"/>
        </w:rPr>
        <w:t>政府采购合同</w:t>
      </w:r>
      <w:r>
        <w:rPr>
          <w:rFonts w:hint="eastAsia" w:ascii="宋体"/>
          <w:color w:val="000000"/>
          <w:sz w:val="24"/>
        </w:rPr>
        <w:t>规定，及时向中标投标人支付采购资金。</w:t>
      </w:r>
    </w:p>
    <w:p>
      <w:pPr>
        <w:pStyle w:val="3"/>
        <w:spacing w:after="20"/>
        <w:jc w:val="center"/>
        <w:rPr>
          <w:color w:val="000000"/>
        </w:rPr>
      </w:pPr>
      <w:bookmarkStart w:id="182" w:name="_Toc23144"/>
      <w:r>
        <w:rPr>
          <w:rFonts w:hint="eastAsia"/>
          <w:color w:val="000000"/>
        </w:rPr>
        <w:t>七、投标纪律要求</w:t>
      </w:r>
      <w:bookmarkEnd w:id="176"/>
      <w:bookmarkEnd w:id="177"/>
      <w:bookmarkEnd w:id="178"/>
      <w:bookmarkEnd w:id="182"/>
      <w:bookmarkStart w:id="183" w:name="_Toc31711"/>
      <w:bookmarkStart w:id="184" w:name="_Toc217446075"/>
    </w:p>
    <w:p>
      <w:pPr>
        <w:spacing w:line="360" w:lineRule="auto"/>
        <w:ind w:firstLine="482" w:firstLineChars="200"/>
        <w:outlineLvl w:val="2"/>
        <w:rPr>
          <w:rFonts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5</w:t>
      </w:r>
      <w:r>
        <w:rPr>
          <w:rFonts w:hint="eastAsia" w:ascii="宋体" w:hAnsi="宋体"/>
          <w:b/>
          <w:color w:val="000000"/>
          <w:sz w:val="24"/>
        </w:rPr>
        <w:t>.投标人不得具有的情形</w:t>
      </w:r>
      <w:bookmarkEnd w:id="183"/>
      <w:bookmarkEnd w:id="184"/>
    </w:p>
    <w:p>
      <w:pPr>
        <w:spacing w:line="360" w:lineRule="auto"/>
        <w:ind w:firstLine="480" w:firstLineChars="200"/>
        <w:rPr>
          <w:rFonts w:ascii="宋体" w:hAnsi="宋体"/>
          <w:color w:val="000000"/>
          <w:sz w:val="24"/>
        </w:rPr>
      </w:pPr>
      <w:r>
        <w:rPr>
          <w:rFonts w:hint="eastAsia" w:ascii="宋体" w:hAnsi="宋体"/>
          <w:color w:val="000000"/>
          <w:sz w:val="24"/>
        </w:rPr>
        <w:t xml:space="preserve"> 投标人参加投标不得有下列情形：</w:t>
      </w:r>
    </w:p>
    <w:p>
      <w:pPr>
        <w:spacing w:line="360" w:lineRule="auto"/>
        <w:ind w:firstLine="460" w:firstLineChars="192"/>
        <w:rPr>
          <w:rFonts w:ascii="宋体"/>
          <w:color w:val="000000"/>
          <w:sz w:val="24"/>
        </w:rPr>
      </w:pPr>
      <w:r>
        <w:rPr>
          <w:rFonts w:hint="eastAsia" w:ascii="宋体"/>
          <w:color w:val="000000"/>
          <w:sz w:val="24"/>
        </w:rPr>
        <w:t>（1）提供虚假材料谋取中标；</w:t>
      </w:r>
    </w:p>
    <w:p>
      <w:pPr>
        <w:spacing w:line="360" w:lineRule="auto"/>
        <w:ind w:firstLine="460" w:firstLineChars="192"/>
        <w:rPr>
          <w:rFonts w:ascii="宋体"/>
          <w:color w:val="000000"/>
          <w:sz w:val="24"/>
        </w:rPr>
      </w:pPr>
      <w:r>
        <w:rPr>
          <w:rFonts w:hint="eastAsia" w:ascii="宋体"/>
          <w:color w:val="000000"/>
          <w:sz w:val="24"/>
        </w:rPr>
        <w:t>（2）采取不正当手段诋毁、排挤其他投标人；</w:t>
      </w:r>
    </w:p>
    <w:p>
      <w:pPr>
        <w:spacing w:line="360" w:lineRule="auto"/>
        <w:ind w:firstLine="480" w:firstLineChars="200"/>
        <w:rPr>
          <w:rFonts w:ascii="宋体"/>
          <w:color w:val="000000"/>
          <w:sz w:val="24"/>
        </w:rPr>
      </w:pPr>
      <w:r>
        <w:rPr>
          <w:rFonts w:hint="eastAsia" w:ascii="宋体"/>
          <w:color w:val="000000"/>
          <w:sz w:val="24"/>
        </w:rPr>
        <w:t>（3）与招标采购单位、其他投标人恶意串通；</w:t>
      </w:r>
    </w:p>
    <w:p>
      <w:pPr>
        <w:spacing w:line="360" w:lineRule="auto"/>
        <w:ind w:left="489" w:leftChars="233"/>
        <w:rPr>
          <w:rFonts w:ascii="宋体"/>
          <w:color w:val="000000"/>
          <w:sz w:val="24"/>
        </w:rPr>
      </w:pPr>
      <w:r>
        <w:rPr>
          <w:rFonts w:hint="eastAsia" w:ascii="宋体"/>
          <w:color w:val="000000"/>
          <w:sz w:val="24"/>
        </w:rPr>
        <w:t>（4）向招标采购单位、评标委员会成员行贿或者提供其他不正当利益；</w:t>
      </w:r>
    </w:p>
    <w:p>
      <w:pPr>
        <w:spacing w:line="360" w:lineRule="auto"/>
        <w:ind w:firstLine="460" w:firstLineChars="192"/>
        <w:rPr>
          <w:rFonts w:ascii="宋体"/>
          <w:color w:val="000000"/>
          <w:sz w:val="24"/>
        </w:rPr>
      </w:pPr>
      <w:r>
        <w:rPr>
          <w:rFonts w:hint="eastAsia" w:ascii="宋体"/>
          <w:color w:val="000000"/>
          <w:sz w:val="24"/>
        </w:rPr>
        <w:t>（5）在招标过程中与招标采购单位进行协商谈判；</w:t>
      </w:r>
    </w:p>
    <w:p>
      <w:pPr>
        <w:spacing w:line="360" w:lineRule="auto"/>
        <w:ind w:firstLine="460" w:firstLineChars="192"/>
        <w:rPr>
          <w:rFonts w:ascii="宋体"/>
          <w:color w:val="000000"/>
          <w:sz w:val="24"/>
        </w:rPr>
      </w:pPr>
      <w:r>
        <w:rPr>
          <w:rFonts w:hint="eastAsia" w:ascii="宋体"/>
          <w:color w:val="000000"/>
          <w:sz w:val="24"/>
        </w:rPr>
        <w:t>（6）中标或者成交后无正当理由拒不与采购人签订政府采购合同；</w:t>
      </w:r>
    </w:p>
    <w:p>
      <w:pPr>
        <w:spacing w:line="360" w:lineRule="auto"/>
        <w:ind w:firstLine="480" w:firstLineChars="200"/>
        <w:rPr>
          <w:rFonts w:ascii="宋体"/>
          <w:color w:val="000000"/>
          <w:sz w:val="24"/>
        </w:rPr>
      </w:pPr>
      <w:r>
        <w:rPr>
          <w:rFonts w:hint="eastAsia" w:ascii="宋体"/>
          <w:color w:val="000000"/>
          <w:sz w:val="24"/>
        </w:rPr>
        <w:t>（7）未按照采购文件确定的事项签订政府采购合同；</w:t>
      </w:r>
    </w:p>
    <w:p>
      <w:pPr>
        <w:spacing w:line="360" w:lineRule="auto"/>
        <w:ind w:firstLine="480" w:firstLineChars="200"/>
        <w:rPr>
          <w:rFonts w:ascii="宋体"/>
          <w:color w:val="000000"/>
          <w:sz w:val="24"/>
        </w:rPr>
      </w:pPr>
      <w:r>
        <w:rPr>
          <w:rFonts w:hint="eastAsia" w:ascii="宋体"/>
          <w:color w:val="000000"/>
          <w:sz w:val="24"/>
        </w:rPr>
        <w:t>（8）将政府采购合同转包或者违规分包；</w:t>
      </w:r>
    </w:p>
    <w:p>
      <w:pPr>
        <w:spacing w:line="360" w:lineRule="auto"/>
        <w:ind w:firstLine="480" w:firstLineChars="200"/>
        <w:rPr>
          <w:rFonts w:ascii="宋体"/>
          <w:color w:val="000000"/>
          <w:sz w:val="24"/>
        </w:rPr>
      </w:pPr>
      <w:r>
        <w:rPr>
          <w:rFonts w:hint="eastAsia" w:ascii="宋体"/>
          <w:color w:val="000000"/>
          <w:sz w:val="24"/>
        </w:rPr>
        <w:t>（9）提供假冒伪劣产品；</w:t>
      </w:r>
    </w:p>
    <w:p>
      <w:pPr>
        <w:spacing w:line="360" w:lineRule="auto"/>
        <w:ind w:firstLine="480" w:firstLineChars="200"/>
        <w:rPr>
          <w:rFonts w:ascii="宋体"/>
          <w:color w:val="000000"/>
          <w:sz w:val="24"/>
        </w:rPr>
      </w:pPr>
      <w:r>
        <w:rPr>
          <w:rFonts w:hint="eastAsia" w:ascii="宋体"/>
          <w:color w:val="000000"/>
          <w:sz w:val="24"/>
        </w:rPr>
        <w:t>（10）擅自变更、中止或者终止政府采购合同；</w:t>
      </w:r>
    </w:p>
    <w:p>
      <w:pPr>
        <w:spacing w:line="360" w:lineRule="auto"/>
        <w:ind w:firstLine="460" w:firstLineChars="192"/>
        <w:rPr>
          <w:rFonts w:ascii="宋体"/>
          <w:color w:val="000000"/>
          <w:sz w:val="24"/>
        </w:rPr>
      </w:pPr>
      <w:r>
        <w:rPr>
          <w:rFonts w:hint="eastAsia" w:ascii="宋体"/>
          <w:color w:val="000000"/>
          <w:sz w:val="24"/>
        </w:rPr>
        <w:t>（11）拒绝有关部门的监督检查或者向监督检查部门提供虚假情况；</w:t>
      </w:r>
    </w:p>
    <w:p>
      <w:pPr>
        <w:spacing w:line="360" w:lineRule="auto"/>
        <w:ind w:firstLine="480" w:firstLineChars="200"/>
        <w:rPr>
          <w:rFonts w:ascii="宋体"/>
          <w:color w:val="000000"/>
          <w:sz w:val="24"/>
        </w:rPr>
      </w:pPr>
      <w:r>
        <w:rPr>
          <w:rFonts w:hint="eastAsia" w:ascii="宋体"/>
          <w:color w:val="000000"/>
          <w:sz w:val="24"/>
        </w:rPr>
        <w:t>（12）法律法规规定的其他情形。</w:t>
      </w:r>
    </w:p>
    <w:p>
      <w:pPr>
        <w:spacing w:line="360" w:lineRule="auto"/>
        <w:ind w:firstLine="480" w:firstLineChars="200"/>
        <w:rPr>
          <w:rFonts w:ascii="Cambria"/>
          <w:color w:val="000000"/>
          <w:sz w:val="32"/>
        </w:rPr>
      </w:pPr>
      <w:r>
        <w:rPr>
          <w:rFonts w:hint="eastAsia" w:ascii="宋体"/>
          <w:color w:val="000000"/>
          <w:sz w:val="24"/>
        </w:rPr>
        <w:t>投标人有上述情形的，按照规定追究法律责任，具备（1）-（10）条情形之一的，同时将取消中标资格或者认定中标无效。</w:t>
      </w:r>
      <w:bookmarkEnd w:id="179"/>
      <w:bookmarkEnd w:id="180"/>
    </w:p>
    <w:p>
      <w:pPr>
        <w:pStyle w:val="3"/>
        <w:spacing w:after="20"/>
        <w:jc w:val="center"/>
        <w:rPr>
          <w:color w:val="000000"/>
        </w:rPr>
      </w:pPr>
      <w:r>
        <w:rPr>
          <w:rFonts w:hint="eastAsia"/>
          <w:color w:val="000000"/>
        </w:rPr>
        <w:t>八、询问</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6</w:t>
      </w:r>
      <w:r>
        <w:rPr>
          <w:rFonts w:hint="eastAsia" w:ascii="宋体" w:hAnsi="宋体"/>
          <w:b/>
          <w:color w:val="000000"/>
          <w:sz w:val="24"/>
        </w:rPr>
        <w:t>.询问</w:t>
      </w:r>
    </w:p>
    <w:p>
      <w:pPr>
        <w:spacing w:line="360" w:lineRule="auto"/>
        <w:ind w:firstLine="460" w:firstLineChars="192"/>
        <w:rPr>
          <w:rFonts w:ascii="宋体"/>
          <w:color w:val="000000"/>
          <w:sz w:val="24"/>
        </w:rPr>
      </w:pPr>
      <w:r>
        <w:rPr>
          <w:rFonts w:hint="eastAsia" w:ascii="宋体"/>
          <w:color w:val="000000"/>
          <w:sz w:val="24"/>
        </w:rPr>
        <w:t>3</w:t>
      </w:r>
      <w:r>
        <w:rPr>
          <w:rFonts w:hint="eastAsia" w:ascii="宋体"/>
          <w:color w:val="000000"/>
          <w:sz w:val="24"/>
          <w:lang w:val="en-US" w:eastAsia="zh-CN"/>
        </w:rPr>
        <w:t>6</w:t>
      </w:r>
      <w:r>
        <w:rPr>
          <w:rFonts w:hint="eastAsia" w:ascii="宋体"/>
          <w:color w:val="000000"/>
          <w:sz w:val="24"/>
        </w:rPr>
        <w:t>.1 投标人对</w:t>
      </w:r>
      <w:r>
        <w:rPr>
          <w:rFonts w:hint="eastAsia" w:ascii="宋体"/>
          <w:color w:val="000000"/>
          <w:sz w:val="24"/>
          <w:highlight w:val="none"/>
        </w:rPr>
        <w:t>政府采购活动</w:t>
      </w:r>
      <w:r>
        <w:rPr>
          <w:rFonts w:hint="eastAsia" w:ascii="宋体"/>
          <w:color w:val="000000"/>
          <w:sz w:val="24"/>
        </w:rPr>
        <w:t>有疑问的，可以向采购人或其委托的采购代理机构提出询问。投标人对</w:t>
      </w:r>
      <w:r>
        <w:rPr>
          <w:rFonts w:hint="eastAsia" w:ascii="宋体"/>
          <w:color w:val="000000"/>
          <w:sz w:val="24"/>
          <w:lang w:val="zh-CN"/>
        </w:rPr>
        <w:t>采购文件技术参数部分的询问由采购人负责答复，对采购文件（技术参数部分除外）、采购过程、中标结果的询问由采购代理机构负责答复。</w:t>
      </w:r>
    </w:p>
    <w:p>
      <w:pPr>
        <w:spacing w:line="360" w:lineRule="auto"/>
        <w:ind w:firstLine="460" w:firstLineChars="192"/>
        <w:rPr>
          <w:rFonts w:ascii="宋体"/>
          <w:color w:val="000000"/>
          <w:sz w:val="24"/>
        </w:rPr>
      </w:pPr>
      <w:r>
        <w:rPr>
          <w:rFonts w:hint="eastAsia" w:ascii="宋体"/>
          <w:color w:val="000000"/>
          <w:sz w:val="24"/>
        </w:rPr>
        <w:t>3</w:t>
      </w:r>
      <w:r>
        <w:rPr>
          <w:rFonts w:hint="eastAsia" w:ascii="宋体"/>
          <w:color w:val="000000"/>
          <w:sz w:val="24"/>
          <w:lang w:val="en-US" w:eastAsia="zh-CN"/>
        </w:rPr>
        <w:t>6</w:t>
      </w:r>
      <w:r>
        <w:rPr>
          <w:rFonts w:hint="eastAsia" w:ascii="宋体"/>
          <w:color w:val="000000"/>
          <w:sz w:val="24"/>
        </w:rPr>
        <w:t>.2 询问应当明确询问事项，以书面形式提出，并由投标人签字或者加盖公章。</w:t>
      </w:r>
    </w:p>
    <w:p>
      <w:pPr>
        <w:spacing w:line="360" w:lineRule="auto"/>
        <w:ind w:firstLine="460" w:firstLineChars="192"/>
        <w:rPr>
          <w:rFonts w:ascii="宋体"/>
          <w:color w:val="000000"/>
          <w:sz w:val="24"/>
        </w:rPr>
      </w:pPr>
      <w:r>
        <w:rPr>
          <w:rFonts w:hint="eastAsia" w:ascii="宋体"/>
          <w:color w:val="000000"/>
          <w:sz w:val="24"/>
        </w:rPr>
        <w:t>3</w:t>
      </w:r>
      <w:r>
        <w:rPr>
          <w:rFonts w:hint="eastAsia" w:ascii="宋体"/>
          <w:color w:val="000000"/>
          <w:sz w:val="24"/>
          <w:lang w:val="en-US" w:eastAsia="zh-CN"/>
        </w:rPr>
        <w:t>6</w:t>
      </w:r>
      <w:r>
        <w:rPr>
          <w:rFonts w:hint="eastAsia" w:ascii="宋体"/>
          <w:color w:val="000000"/>
          <w:sz w:val="24"/>
        </w:rPr>
        <w:t>.3 采购人及有权答复的采购代理机构应当以书面形式答复投标人的询问。</w:t>
      </w:r>
    </w:p>
    <w:p>
      <w:pPr>
        <w:spacing w:line="360" w:lineRule="auto"/>
        <w:ind w:firstLine="460" w:firstLineChars="192"/>
        <w:rPr>
          <w:rFonts w:ascii="Cambria" w:hAnsi="Cambria"/>
          <w:b/>
          <w:bCs/>
          <w:color w:val="000000"/>
          <w:sz w:val="30"/>
          <w:szCs w:val="30"/>
        </w:rPr>
      </w:pPr>
      <w:r>
        <w:rPr>
          <w:rFonts w:hint="eastAsia" w:ascii="宋体"/>
          <w:color w:val="000000"/>
          <w:sz w:val="24"/>
        </w:rPr>
        <w:t>3</w:t>
      </w:r>
      <w:r>
        <w:rPr>
          <w:rFonts w:hint="eastAsia" w:ascii="宋体"/>
          <w:color w:val="000000"/>
          <w:sz w:val="24"/>
          <w:lang w:val="en-US" w:eastAsia="zh-CN"/>
        </w:rPr>
        <w:t>6</w:t>
      </w:r>
      <w:r>
        <w:rPr>
          <w:rFonts w:hint="eastAsia" w:ascii="宋体"/>
          <w:color w:val="000000"/>
          <w:sz w:val="24"/>
        </w:rPr>
        <w:t>.4 询问事项超出采购代理机构委托授权范围的，采购代理机构应当书面告知投标人向采购人提出询问。</w:t>
      </w:r>
    </w:p>
    <w:p>
      <w:pPr>
        <w:pStyle w:val="3"/>
        <w:spacing w:after="20"/>
        <w:jc w:val="center"/>
        <w:rPr>
          <w:color w:val="000000"/>
        </w:rPr>
      </w:pPr>
      <w:r>
        <w:rPr>
          <w:rFonts w:hint="eastAsia"/>
          <w:color w:val="000000"/>
        </w:rPr>
        <w:t>九、质疑和投诉</w:t>
      </w:r>
    </w:p>
    <w:p>
      <w:pPr>
        <w:spacing w:line="360" w:lineRule="auto"/>
        <w:ind w:firstLine="482" w:firstLineChars="200"/>
        <w:outlineLvl w:val="2"/>
        <w:rPr>
          <w:rFonts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7</w:t>
      </w:r>
      <w:r>
        <w:rPr>
          <w:rFonts w:hint="eastAsia" w:ascii="宋体" w:hAnsi="宋体"/>
          <w:b/>
          <w:color w:val="000000"/>
          <w:sz w:val="24"/>
        </w:rPr>
        <w:t>.质疑和投诉</w:t>
      </w:r>
    </w:p>
    <w:p>
      <w:pPr>
        <w:spacing w:line="360" w:lineRule="auto"/>
        <w:ind w:firstLine="460" w:firstLineChars="192"/>
        <w:rPr>
          <w:rFonts w:ascii="宋体"/>
          <w:color w:val="000000"/>
          <w:sz w:val="24"/>
        </w:rPr>
      </w:pPr>
      <w:r>
        <w:rPr>
          <w:rFonts w:hint="eastAsia" w:ascii="宋体"/>
          <w:color w:val="000000"/>
          <w:sz w:val="24"/>
        </w:rPr>
        <w:t>质疑、投诉的接收和处理严格按照《中华人共和国政府采购法》《中华人共和国政府采购法实施条例》《政府采购质疑和投诉办法（财政部第 94 号令）》《财政部关于加强政府采购投标人投诉受理审查工作的通知》《关于贯彻落实&lt;中华人民共和国政府采购法实施条例&gt;的若干规定》的通知的规定办理（详细规定请在</w:t>
      </w:r>
      <w:r>
        <w:rPr>
          <w:rFonts w:hint="eastAsia" w:ascii="宋体"/>
          <w:color w:val="000000"/>
          <w:sz w:val="24"/>
          <w:lang w:eastAsia="zh-CN"/>
        </w:rPr>
        <w:t>中国政府采购网</w:t>
      </w:r>
      <w:r>
        <w:rPr>
          <w:rFonts w:hint="eastAsia" w:ascii="宋体"/>
          <w:color w:val="000000"/>
          <w:sz w:val="24"/>
        </w:rPr>
        <w:t>法律法规模块查询）。</w:t>
      </w:r>
    </w:p>
    <w:p>
      <w:pPr>
        <w:spacing w:line="360" w:lineRule="auto"/>
        <w:ind w:firstLine="460" w:firstLineChars="192"/>
        <w:rPr>
          <w:rFonts w:ascii="宋体"/>
          <w:color w:val="000000"/>
          <w:sz w:val="24"/>
        </w:rPr>
      </w:pPr>
      <w:r>
        <w:rPr>
          <w:rFonts w:hint="eastAsia" w:ascii="宋体"/>
          <w:color w:val="000000"/>
          <w:sz w:val="24"/>
        </w:rPr>
        <w:t>投标人如认为招标文件使自己的合法权益受到损害，可按照以上规定程序和办法提出质疑。投标人对可以质疑的采购文件提出质疑的，须在购买招标文件次日起七个工作日内提出，逾期提交的质疑不予受理。</w:t>
      </w:r>
    </w:p>
    <w:p>
      <w:pPr>
        <w:spacing w:line="360" w:lineRule="auto"/>
        <w:ind w:firstLine="460" w:firstLineChars="192"/>
        <w:rPr>
          <w:rFonts w:ascii="宋体"/>
          <w:color w:val="000000"/>
          <w:sz w:val="24"/>
        </w:rPr>
      </w:pPr>
      <w:r>
        <w:rPr>
          <w:rFonts w:hint="eastAsia" w:ascii="宋体"/>
          <w:color w:val="000000"/>
          <w:sz w:val="24"/>
        </w:rPr>
        <w:t>质疑、投诉应当采用书面形式，质疑书、投诉书均应明确阐述招标文件、询价过程、成交结果中使自己的合法权益受到损害的实质性内容，提供相关事实、依据和证据及其来源或线索，并确保真实性，便于有关单位调查、答复和处理。质疑人行使质疑权时，必须坚持“谁主张谁举证”，遵守“实事求是”和“谨慎性”原则，不得进行虚假、恶意质疑，不得以质疑为手段获取不当得利、实现非法目的。</w:t>
      </w:r>
    </w:p>
    <w:p>
      <w:pPr>
        <w:pStyle w:val="3"/>
        <w:spacing w:after="20"/>
        <w:ind w:firstLine="617"/>
        <w:jc w:val="center"/>
        <w:rPr>
          <w:color w:val="000000"/>
        </w:rPr>
      </w:pPr>
      <w:r>
        <w:rPr>
          <w:rFonts w:hint="eastAsia"/>
          <w:color w:val="000000"/>
        </w:rPr>
        <w:t>十、串通投标的情形</w:t>
      </w:r>
    </w:p>
    <w:p>
      <w:pPr>
        <w:spacing w:line="360" w:lineRule="auto"/>
        <w:ind w:firstLine="482" w:firstLineChars="200"/>
        <w:outlineLvl w:val="2"/>
        <w:rPr>
          <w:rFonts w:ascii="宋体" w:hAnsi="宋体"/>
          <w:b/>
          <w:color w:val="000000"/>
          <w:sz w:val="24"/>
        </w:rPr>
      </w:pPr>
      <w:r>
        <w:rPr>
          <w:rFonts w:hint="eastAsia" w:ascii="宋体" w:hAnsi="宋体"/>
          <w:b/>
          <w:color w:val="000000"/>
          <w:sz w:val="24"/>
          <w:lang w:val="en-US" w:eastAsia="zh-CN"/>
        </w:rPr>
        <w:t>38</w:t>
      </w:r>
      <w:r>
        <w:rPr>
          <w:rFonts w:hint="eastAsia" w:ascii="宋体" w:hAnsi="宋体"/>
          <w:b/>
          <w:color w:val="000000"/>
          <w:sz w:val="24"/>
        </w:rPr>
        <w:t>.有下列情形之一的，视为投标人串通投标，其投标无效。</w:t>
      </w:r>
    </w:p>
    <w:p>
      <w:pPr>
        <w:spacing w:line="360" w:lineRule="auto"/>
        <w:ind w:firstLine="460" w:firstLineChars="192"/>
        <w:rPr>
          <w:rFonts w:ascii="宋体"/>
          <w:color w:val="000000"/>
          <w:sz w:val="24"/>
        </w:rPr>
      </w:pPr>
      <w:r>
        <w:rPr>
          <w:rFonts w:hint="eastAsia" w:ascii="宋体"/>
          <w:color w:val="000000"/>
          <w:sz w:val="24"/>
        </w:rPr>
        <w:t>（一）不同投标人的投标文件由同一单位或者个人编制；</w:t>
      </w:r>
    </w:p>
    <w:p>
      <w:pPr>
        <w:spacing w:line="360" w:lineRule="auto"/>
        <w:ind w:firstLine="460" w:firstLineChars="192"/>
        <w:rPr>
          <w:rFonts w:ascii="宋体"/>
          <w:color w:val="000000"/>
          <w:sz w:val="24"/>
        </w:rPr>
      </w:pPr>
      <w:r>
        <w:rPr>
          <w:rFonts w:hint="eastAsia" w:ascii="宋体"/>
          <w:color w:val="000000"/>
          <w:sz w:val="24"/>
        </w:rPr>
        <w:t>（二）不同投标人委托同一单位或者个人办理投标事宜；</w:t>
      </w:r>
    </w:p>
    <w:p>
      <w:pPr>
        <w:spacing w:line="360" w:lineRule="auto"/>
        <w:ind w:firstLine="460" w:firstLineChars="192"/>
        <w:rPr>
          <w:rFonts w:ascii="宋体"/>
          <w:color w:val="000000"/>
          <w:sz w:val="24"/>
        </w:rPr>
      </w:pPr>
      <w:r>
        <w:rPr>
          <w:rFonts w:hint="eastAsia" w:ascii="宋体"/>
          <w:color w:val="000000"/>
          <w:sz w:val="24"/>
        </w:rPr>
        <w:t>（三）不同投标人的投标文件载明的项目管理成员或者联系人员为同一人；</w:t>
      </w:r>
    </w:p>
    <w:p>
      <w:pPr>
        <w:spacing w:line="360" w:lineRule="auto"/>
        <w:ind w:firstLine="460" w:firstLineChars="192"/>
        <w:rPr>
          <w:rFonts w:ascii="宋体"/>
          <w:color w:val="000000"/>
          <w:sz w:val="24"/>
        </w:rPr>
      </w:pPr>
      <w:r>
        <w:rPr>
          <w:rFonts w:hint="eastAsia" w:ascii="宋体"/>
          <w:color w:val="000000"/>
          <w:sz w:val="24"/>
        </w:rPr>
        <w:t>（四）不同投标人的投标文件异常一致或者投标报价呈规律性差异；</w:t>
      </w:r>
    </w:p>
    <w:p>
      <w:pPr>
        <w:spacing w:line="360" w:lineRule="auto"/>
        <w:ind w:firstLine="460" w:firstLineChars="192"/>
        <w:rPr>
          <w:rFonts w:ascii="宋体"/>
          <w:color w:val="000000"/>
          <w:sz w:val="24"/>
        </w:rPr>
      </w:pPr>
      <w:r>
        <w:rPr>
          <w:rFonts w:hint="eastAsia" w:ascii="宋体"/>
          <w:color w:val="000000"/>
          <w:sz w:val="24"/>
        </w:rPr>
        <w:t>（五）不同投标人的投标文件相互混装。</w:t>
      </w:r>
    </w:p>
    <w:p>
      <w:pPr>
        <w:pStyle w:val="3"/>
        <w:spacing w:after="20"/>
        <w:ind w:firstLine="617"/>
        <w:jc w:val="center"/>
        <w:rPr>
          <w:color w:val="000000"/>
        </w:rPr>
      </w:pPr>
      <w:r>
        <w:rPr>
          <w:rFonts w:hint="eastAsia"/>
          <w:color w:val="000000"/>
        </w:rPr>
        <w:t>十一、 投标人信用信息查询</w:t>
      </w:r>
    </w:p>
    <w:p>
      <w:pPr>
        <w:spacing w:line="360" w:lineRule="auto"/>
        <w:ind w:firstLine="460" w:firstLineChars="192"/>
        <w:rPr>
          <w:rFonts w:ascii="宋体"/>
          <w:color w:val="000000"/>
          <w:sz w:val="24"/>
        </w:rPr>
      </w:pPr>
      <w:r>
        <w:rPr>
          <w:rFonts w:hint="eastAsia" w:ascii="宋体"/>
          <w:color w:val="000000"/>
          <w:sz w:val="24"/>
        </w:rPr>
        <w:t>（一）投标人信用信息查询渠道</w:t>
      </w:r>
    </w:p>
    <w:p>
      <w:pPr>
        <w:spacing w:line="360" w:lineRule="auto"/>
        <w:ind w:firstLine="460" w:firstLineChars="192"/>
        <w:rPr>
          <w:rFonts w:hAnsi="宋体"/>
          <w:color w:val="000000"/>
          <w:sz w:val="24"/>
        </w:rPr>
      </w:pPr>
      <w:r>
        <w:rPr>
          <w:rFonts w:hAnsi="宋体"/>
          <w:color w:val="000000"/>
          <w:sz w:val="24"/>
        </w:rPr>
        <w:t>“信用中国”网站（www.creditchina.gov.cn）、中国政府采购网（</w:t>
      </w:r>
      <w:r>
        <w:fldChar w:fldCharType="begin"/>
      </w:r>
      <w:r>
        <w:instrText xml:space="preserve"> HYPERLINK "http://www.ccgp.gov.cn" </w:instrText>
      </w:r>
      <w:r>
        <w:fldChar w:fldCharType="separate"/>
      </w:r>
      <w:r>
        <w:rPr>
          <w:rFonts w:hAnsi="宋体"/>
          <w:color w:val="000000"/>
          <w:sz w:val="24"/>
        </w:rPr>
        <w:t>www.ccgp.gov.cn</w:t>
      </w:r>
      <w:r>
        <w:rPr>
          <w:rFonts w:hAnsi="宋体"/>
          <w:color w:val="000000"/>
          <w:sz w:val="24"/>
        </w:rPr>
        <w:fldChar w:fldCharType="end"/>
      </w:r>
      <w:r>
        <w:rPr>
          <w:rFonts w:hAnsi="宋体"/>
          <w:color w:val="000000"/>
          <w:sz w:val="24"/>
        </w:rPr>
        <w:t>）</w:t>
      </w:r>
      <w:r>
        <w:rPr>
          <w:rFonts w:hint="eastAsia" w:hAnsi="宋体"/>
          <w:color w:val="000000"/>
          <w:sz w:val="24"/>
        </w:rPr>
        <w:t>、“四川政府采购”网站等。</w:t>
      </w:r>
    </w:p>
    <w:p>
      <w:pPr>
        <w:spacing w:line="360" w:lineRule="auto"/>
        <w:ind w:firstLine="460" w:firstLineChars="192"/>
        <w:rPr>
          <w:rFonts w:ascii="宋体"/>
          <w:color w:val="000000"/>
          <w:sz w:val="24"/>
        </w:rPr>
      </w:pPr>
      <w:r>
        <w:rPr>
          <w:rFonts w:hint="eastAsia" w:ascii="宋体"/>
          <w:color w:val="000000"/>
          <w:sz w:val="24"/>
        </w:rPr>
        <w:t>（二）投标人信用信息查询截止时点</w:t>
      </w:r>
    </w:p>
    <w:p>
      <w:pPr>
        <w:spacing w:line="360" w:lineRule="auto"/>
        <w:ind w:firstLine="460" w:firstLineChars="192"/>
        <w:rPr>
          <w:rFonts w:ascii="宋体"/>
          <w:color w:val="000000"/>
          <w:sz w:val="24"/>
        </w:rPr>
      </w:pPr>
      <w:r>
        <w:rPr>
          <w:rFonts w:hint="eastAsia" w:ascii="宋体"/>
          <w:color w:val="000000"/>
          <w:sz w:val="24"/>
        </w:rPr>
        <w:t>信用信息查询在资格审查阶段完成。</w:t>
      </w:r>
    </w:p>
    <w:p>
      <w:pPr>
        <w:spacing w:line="360" w:lineRule="auto"/>
        <w:ind w:firstLine="460" w:firstLineChars="192"/>
        <w:rPr>
          <w:rFonts w:ascii="宋体"/>
          <w:color w:val="000000"/>
          <w:sz w:val="24"/>
        </w:rPr>
      </w:pPr>
      <w:r>
        <w:rPr>
          <w:rFonts w:hint="eastAsia" w:ascii="宋体"/>
          <w:color w:val="000000"/>
          <w:sz w:val="24"/>
        </w:rPr>
        <w:t>（三）投标人信用信息查询记录和证据留存的具体方式</w:t>
      </w:r>
    </w:p>
    <w:p>
      <w:pPr>
        <w:spacing w:line="360" w:lineRule="auto"/>
        <w:ind w:firstLine="460" w:firstLineChars="192"/>
        <w:rPr>
          <w:rFonts w:ascii="宋体"/>
          <w:b/>
          <w:bCs/>
          <w:color w:val="000000"/>
          <w:sz w:val="24"/>
        </w:rPr>
      </w:pPr>
      <w:r>
        <w:rPr>
          <w:rFonts w:hint="eastAsia" w:ascii="宋体"/>
          <w:color w:val="000000"/>
          <w:sz w:val="24"/>
        </w:rPr>
        <w:t>供应商参与投标时无需对此条进行响应，由采购代理机构通过</w:t>
      </w:r>
      <w:r>
        <w:rPr>
          <w:rFonts w:hAnsi="宋体"/>
          <w:color w:val="000000"/>
          <w:sz w:val="24"/>
        </w:rPr>
        <w:t>“信用中国”网站（www.creditchina.gov.cn）、中国政府采购网（</w:t>
      </w:r>
      <w:r>
        <w:fldChar w:fldCharType="begin"/>
      </w:r>
      <w:r>
        <w:instrText xml:space="preserve"> HYPERLINK "http://www.ccgp.gov.cn" </w:instrText>
      </w:r>
      <w:r>
        <w:fldChar w:fldCharType="separate"/>
      </w:r>
      <w:r>
        <w:rPr>
          <w:rFonts w:hAnsi="宋体"/>
          <w:color w:val="000000"/>
          <w:sz w:val="24"/>
        </w:rPr>
        <w:t>www.ccgp.gov.cn</w:t>
      </w:r>
      <w:r>
        <w:rPr>
          <w:rFonts w:hAnsi="宋体"/>
          <w:color w:val="000000"/>
          <w:sz w:val="24"/>
        </w:rPr>
        <w:fldChar w:fldCharType="end"/>
      </w:r>
      <w:r>
        <w:rPr>
          <w:rFonts w:hAnsi="宋体"/>
          <w:color w:val="000000"/>
          <w:sz w:val="24"/>
        </w:rPr>
        <w:t>）</w:t>
      </w:r>
      <w:r>
        <w:rPr>
          <w:rFonts w:hint="eastAsia" w:hAnsi="宋体"/>
          <w:color w:val="000000"/>
          <w:sz w:val="24"/>
        </w:rPr>
        <w:t>、“四川政府采购”</w:t>
      </w:r>
      <w:r>
        <w:rPr>
          <w:rFonts w:hint="eastAsia" w:ascii="宋体"/>
          <w:color w:val="000000"/>
          <w:sz w:val="24"/>
        </w:rPr>
        <w:t>网站等渠道</w:t>
      </w:r>
      <w:r>
        <w:rPr>
          <w:rFonts w:hint="eastAsia" w:ascii="宋体" w:hAnsi="宋体" w:cs="宋体"/>
          <w:color w:val="000000"/>
          <w:sz w:val="24"/>
        </w:rPr>
        <w:t>查询投标人截至开标之日的信用记录并保存信用记录</w:t>
      </w:r>
      <w:r>
        <w:rPr>
          <w:rFonts w:hint="eastAsia" w:ascii="宋体"/>
          <w:color w:val="000000"/>
          <w:sz w:val="24"/>
        </w:rPr>
        <w:t>。凡被列入失信被执行人、重大税收违法案件当事人名单、政府采购严重违法失信行为记录名单的，视为存在不良信用记录，参与本项目的将被拒绝（两个以上的自然人、法人或者其他组织组成一个联合体，以一个投标人的身份共同参加政府采购活动的，将对所有联合体成员进行信用记录查询，联合体成员存在不良信用记录的，视同联合体存在不良信用记录）</w:t>
      </w:r>
      <w:r>
        <w:rPr>
          <w:rFonts w:hint="eastAsia" w:ascii="宋体"/>
          <w:b/>
          <w:bCs/>
          <w:color w:val="000000"/>
          <w:sz w:val="24"/>
        </w:rPr>
        <w:t>。</w:t>
      </w:r>
    </w:p>
    <w:p>
      <w:pPr>
        <w:spacing w:line="360" w:lineRule="auto"/>
        <w:ind w:firstLine="460" w:firstLineChars="192"/>
        <w:rPr>
          <w:rFonts w:ascii="Cambria" w:hAnsi="Cambria"/>
          <w:b/>
          <w:bCs/>
          <w:color w:val="000000"/>
          <w:sz w:val="30"/>
          <w:szCs w:val="30"/>
        </w:rPr>
      </w:pPr>
      <w:r>
        <w:rPr>
          <w:rFonts w:hint="eastAsia" w:ascii="宋体"/>
          <w:color w:val="000000"/>
          <w:sz w:val="24"/>
        </w:rPr>
        <w:t>（四）投标人信用信息的使用：列入失信被执行人、重大税收违法案件当事人名单、政府采购严重违法失信行为记录名单中的投标人将被拒绝参加本项目的政府采购活动。</w:t>
      </w:r>
    </w:p>
    <w:p>
      <w:pPr>
        <w:pStyle w:val="3"/>
        <w:spacing w:after="20"/>
        <w:ind w:firstLine="617"/>
        <w:jc w:val="center"/>
        <w:rPr>
          <w:rFonts w:ascii="宋体" w:hAnsi="宋体" w:cs="宋体"/>
          <w:color w:val="000000"/>
        </w:rPr>
      </w:pPr>
      <w:r>
        <w:rPr>
          <w:rFonts w:hint="eastAsia"/>
          <w:color w:val="000000"/>
        </w:rPr>
        <w:t>十二、</w:t>
      </w:r>
      <w:r>
        <w:rPr>
          <w:rFonts w:hint="eastAsia" w:ascii="宋体" w:hAnsi="宋体" w:cs="宋体"/>
          <w:color w:val="000000"/>
        </w:rPr>
        <w:t>行贿犯罪记录使用</w:t>
      </w:r>
    </w:p>
    <w:p>
      <w:pPr>
        <w:spacing w:line="360" w:lineRule="auto"/>
        <w:ind w:firstLine="480" w:firstLineChars="200"/>
        <w:rPr>
          <w:rFonts w:ascii="宋体" w:hAnsi="宋体" w:cs="宋体"/>
          <w:color w:val="000000"/>
          <w:sz w:val="24"/>
        </w:rPr>
      </w:pPr>
      <w:r>
        <w:rPr>
          <w:rFonts w:hint="eastAsia" w:ascii="宋体" w:hAnsi="宋体" w:cs="宋体"/>
          <w:color w:val="000000"/>
          <w:sz w:val="24"/>
        </w:rPr>
        <w:t>中标人单位及其现任法定代表人、主要负责人存在行贿犯罪记录的，中标未签订政府采购合同的，将认定中标无效；中标签订政府采购合同未履行的，将认定中标无效，同时撤销政府采购合同；中标后签订政府采购合同且已经履行的，将认定采购活动违法，由相关当事人承担赔偿责任。</w:t>
      </w:r>
    </w:p>
    <w:p>
      <w:pPr>
        <w:pStyle w:val="3"/>
        <w:spacing w:after="20"/>
        <w:jc w:val="center"/>
        <w:rPr>
          <w:color w:val="000000"/>
        </w:rPr>
      </w:pPr>
      <w:r>
        <w:rPr>
          <w:rFonts w:hint="eastAsia"/>
          <w:color w:val="000000"/>
        </w:rPr>
        <w:t>十三、其他</w:t>
      </w:r>
    </w:p>
    <w:p>
      <w:pPr>
        <w:spacing w:line="360" w:lineRule="auto"/>
        <w:ind w:firstLine="460" w:firstLineChars="192"/>
        <w:rPr>
          <w:rFonts w:ascii="宋体"/>
          <w:color w:val="000000"/>
          <w:sz w:val="24"/>
        </w:rPr>
      </w:pPr>
      <w:r>
        <w:rPr>
          <w:rFonts w:hint="eastAsia" w:ascii="宋体"/>
          <w:color w:val="000000"/>
          <w:sz w:val="24"/>
        </w:rPr>
        <w:t>本招标文件中所引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做调整。</w:t>
      </w:r>
    </w:p>
    <w:p>
      <w:pPr>
        <w:spacing w:line="400" w:lineRule="exact"/>
        <w:rPr>
          <w:rFonts w:ascii="宋体"/>
          <w:color w:val="000000"/>
          <w:sz w:val="24"/>
        </w:rPr>
      </w:pPr>
      <w:bookmarkStart w:id="185" w:name="_Toc29519"/>
      <w:bookmarkStart w:id="186" w:name="_Toc448150555"/>
    </w:p>
    <w:bookmarkEnd w:id="114"/>
    <w:bookmarkEnd w:id="185"/>
    <w:bookmarkEnd w:id="186"/>
    <w:p>
      <w:pPr>
        <w:pStyle w:val="2"/>
        <w:spacing w:line="360" w:lineRule="auto"/>
        <w:jc w:val="center"/>
        <w:rPr>
          <w:color w:val="000000"/>
          <w:sz w:val="36"/>
          <w:szCs w:val="36"/>
        </w:rPr>
      </w:pPr>
      <w:bookmarkStart w:id="187" w:name="_Toc24556239"/>
      <w:bookmarkStart w:id="188" w:name="_Toc217446092"/>
      <w:bookmarkStart w:id="189" w:name="_Toc421005903"/>
      <w:bookmarkStart w:id="190" w:name="_Toc24514"/>
      <w:r>
        <w:rPr>
          <w:rFonts w:hint="eastAsia"/>
          <w:color w:val="000000"/>
        </w:rPr>
        <w:br w:type="page"/>
      </w:r>
      <w:bookmarkStart w:id="191" w:name="_Toc16041"/>
      <w:bookmarkStart w:id="192" w:name="_Toc16296"/>
      <w:r>
        <w:rPr>
          <w:rFonts w:hint="eastAsia"/>
          <w:color w:val="000000"/>
        </w:rPr>
        <w:t>第三章  投标文件格式</w:t>
      </w:r>
      <w:bookmarkEnd w:id="187"/>
      <w:bookmarkEnd w:id="191"/>
      <w:bookmarkEnd w:id="192"/>
    </w:p>
    <w:p>
      <w:pPr>
        <w:spacing w:line="360" w:lineRule="auto"/>
        <w:ind w:firstLine="480" w:firstLineChars="200"/>
        <w:rPr>
          <w:color w:val="000000"/>
          <w:sz w:val="24"/>
        </w:rPr>
      </w:pPr>
      <w:bookmarkStart w:id="193" w:name="_Toc17069"/>
      <w:bookmarkStart w:id="194" w:name="_Toc327"/>
      <w:bookmarkStart w:id="195" w:name="_Toc32209"/>
      <w:bookmarkStart w:id="196" w:name="_Toc217446082"/>
      <w:bookmarkStart w:id="197" w:name="_Toc421005891"/>
      <w:bookmarkStart w:id="198" w:name="_Toc2140"/>
      <w:r>
        <w:rPr>
          <w:rFonts w:hint="eastAsia"/>
          <w:color w:val="000000"/>
          <w:sz w:val="24"/>
        </w:rPr>
        <w:t>一、本章所制响应文件格式，除格式中明确将该格式作为实质性要求的，一律不具有强制性。</w:t>
      </w:r>
    </w:p>
    <w:p>
      <w:pPr>
        <w:spacing w:line="360" w:lineRule="auto"/>
        <w:ind w:firstLine="480" w:firstLineChars="200"/>
        <w:rPr>
          <w:color w:val="000000"/>
          <w:sz w:val="24"/>
        </w:rPr>
      </w:pPr>
      <w:r>
        <w:rPr>
          <w:rFonts w:hint="eastAsia"/>
          <w:color w:val="000000"/>
          <w:sz w:val="24"/>
        </w:rPr>
        <w:t>二、本章所制响应文件格式有关表格中的备注栏，由投标人根据自身响应情况作解释性说明，不作为必填项。</w:t>
      </w:r>
    </w:p>
    <w:p>
      <w:pPr>
        <w:spacing w:line="360" w:lineRule="auto"/>
        <w:ind w:firstLine="480" w:firstLineChars="200"/>
        <w:rPr>
          <w:color w:val="000000"/>
          <w:sz w:val="24"/>
        </w:rPr>
      </w:pPr>
      <w:r>
        <w:rPr>
          <w:rFonts w:hint="eastAsia"/>
          <w:color w:val="000000"/>
          <w:sz w:val="24"/>
        </w:rPr>
        <w:t>三、第三章格式中“注”的内容，投标人可自行决定是否保留在投标文件中，未保留的视为投标人默认接受“注”的内容。</w:t>
      </w:r>
    </w:p>
    <w:p>
      <w:pPr>
        <w:spacing w:line="360" w:lineRule="auto"/>
        <w:ind w:firstLine="480" w:firstLineChars="200"/>
        <w:rPr>
          <w:color w:val="000000"/>
          <w:sz w:val="24"/>
        </w:rPr>
      </w:pPr>
      <w:r>
        <w:rPr>
          <w:rFonts w:hint="eastAsia"/>
          <w:color w:val="000000"/>
          <w:sz w:val="24"/>
        </w:rPr>
        <w:t>四、本章所制响应文件格式中需要填写的相关内容事项，可能会与本采购项目无关，在不改变响应文件原义、不影响本项目采购需求的情况下，投标人可以不予填写，但应当注明。</w:t>
      </w:r>
    </w:p>
    <w:p>
      <w:pPr>
        <w:jc w:val="center"/>
        <w:rPr>
          <w:b/>
          <w:color w:val="000000"/>
          <w:sz w:val="32"/>
          <w:szCs w:val="32"/>
        </w:rPr>
      </w:pPr>
    </w:p>
    <w:p>
      <w:pPr>
        <w:jc w:val="center"/>
        <w:rPr>
          <w:b/>
          <w:color w:val="000000"/>
          <w:sz w:val="32"/>
          <w:szCs w:val="32"/>
        </w:rPr>
      </w:pPr>
    </w:p>
    <w:p>
      <w:pPr>
        <w:jc w:val="center"/>
        <w:rPr>
          <w:b/>
          <w:color w:val="000000"/>
          <w:sz w:val="32"/>
          <w:szCs w:val="32"/>
        </w:rPr>
      </w:pPr>
    </w:p>
    <w:p>
      <w:pPr>
        <w:keepNext/>
        <w:keepLines/>
        <w:spacing w:before="240" w:beforeLines="100" w:after="240" w:afterLines="100"/>
        <w:rPr>
          <w:rFonts w:ascii="宋体" w:hAnsi="宋体" w:cs="宋体"/>
          <w:b/>
          <w:bCs/>
          <w:color w:val="000000"/>
          <w:sz w:val="32"/>
          <w:szCs w:val="28"/>
        </w:rPr>
      </w:pPr>
    </w:p>
    <w:p>
      <w:pPr>
        <w:pStyle w:val="21"/>
        <w:rPr>
          <w:rFonts w:ascii="宋体" w:hAnsi="宋体" w:cs="宋体"/>
          <w:b/>
          <w:bCs/>
          <w:color w:val="000000"/>
          <w:sz w:val="32"/>
          <w:szCs w:val="28"/>
        </w:rPr>
      </w:pPr>
    </w:p>
    <w:p>
      <w:pPr>
        <w:pStyle w:val="46"/>
        <w:ind w:firstLine="321"/>
        <w:rPr>
          <w:rFonts w:hAnsi="宋体" w:cs="宋体"/>
          <w:b/>
          <w:bCs/>
          <w:color w:val="000000"/>
          <w:sz w:val="32"/>
          <w:szCs w:val="28"/>
        </w:rPr>
      </w:pPr>
    </w:p>
    <w:p>
      <w:pPr>
        <w:pStyle w:val="46"/>
        <w:ind w:firstLine="321"/>
        <w:rPr>
          <w:rFonts w:hAnsi="宋体" w:cs="宋体"/>
          <w:b/>
          <w:bCs/>
          <w:color w:val="000000"/>
          <w:sz w:val="32"/>
          <w:szCs w:val="28"/>
        </w:rPr>
      </w:pPr>
    </w:p>
    <w:p>
      <w:pPr>
        <w:pStyle w:val="46"/>
        <w:ind w:firstLine="321"/>
        <w:rPr>
          <w:rFonts w:hAnsi="宋体" w:cs="宋体"/>
          <w:b/>
          <w:bCs/>
          <w:color w:val="000000"/>
          <w:sz w:val="32"/>
          <w:szCs w:val="28"/>
        </w:rPr>
      </w:pPr>
    </w:p>
    <w:p>
      <w:pPr>
        <w:pStyle w:val="46"/>
        <w:ind w:firstLine="321"/>
        <w:rPr>
          <w:rFonts w:hAnsi="宋体" w:cs="宋体"/>
          <w:b/>
          <w:bCs/>
          <w:color w:val="000000"/>
          <w:sz w:val="32"/>
          <w:szCs w:val="28"/>
        </w:rPr>
      </w:pPr>
    </w:p>
    <w:p>
      <w:pPr>
        <w:pStyle w:val="46"/>
        <w:ind w:firstLine="321"/>
        <w:rPr>
          <w:rFonts w:hAnsi="宋体" w:cs="宋体"/>
          <w:b/>
          <w:bCs/>
          <w:color w:val="000000"/>
          <w:sz w:val="32"/>
          <w:szCs w:val="28"/>
        </w:rPr>
      </w:pPr>
    </w:p>
    <w:p>
      <w:pPr>
        <w:pStyle w:val="46"/>
        <w:ind w:firstLine="321"/>
        <w:rPr>
          <w:rFonts w:hAnsi="宋体" w:cs="宋体"/>
          <w:b/>
          <w:bCs/>
          <w:color w:val="000000"/>
          <w:sz w:val="32"/>
          <w:szCs w:val="28"/>
        </w:rPr>
      </w:pPr>
    </w:p>
    <w:p>
      <w:pPr>
        <w:pStyle w:val="46"/>
        <w:ind w:firstLine="321"/>
        <w:rPr>
          <w:rFonts w:hAnsi="宋体" w:cs="宋体"/>
          <w:b/>
          <w:bCs/>
          <w:color w:val="000000"/>
          <w:sz w:val="32"/>
          <w:szCs w:val="28"/>
        </w:rPr>
      </w:pPr>
    </w:p>
    <w:p>
      <w:pPr>
        <w:pStyle w:val="46"/>
        <w:ind w:firstLine="321"/>
        <w:rPr>
          <w:rFonts w:hAnsi="宋体" w:cs="宋体"/>
          <w:b/>
          <w:bCs/>
          <w:color w:val="000000"/>
          <w:sz w:val="32"/>
          <w:szCs w:val="28"/>
        </w:rPr>
      </w:pPr>
    </w:p>
    <w:p>
      <w:pPr>
        <w:tabs>
          <w:tab w:val="left" w:pos="7665"/>
        </w:tabs>
        <w:spacing w:line="400" w:lineRule="exact"/>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投标文件封面格式</w:t>
      </w:r>
    </w:p>
    <w:p>
      <w:pPr>
        <w:spacing w:line="360" w:lineRule="auto"/>
        <w:rPr>
          <w:rFonts w:ascii="宋体" w:hAnsi="宋体" w:cs="宋体"/>
          <w:bCs/>
          <w:color w:val="000000"/>
        </w:rPr>
      </w:pPr>
      <w:r>
        <w:rPr>
          <w:rFonts w:ascii="宋体" w:hAnsi="宋体" w:cs="宋体"/>
          <w:color w:val="000000"/>
          <w:sz w:val="24"/>
          <w:szCs w:val="22"/>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169545</wp:posOffset>
                </wp:positionV>
                <wp:extent cx="1137285" cy="331470"/>
                <wp:effectExtent l="4445" t="4445" r="20320" b="6985"/>
                <wp:wrapNone/>
                <wp:docPr id="4" name="Text Box 2"/>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黑体" w:eastAsia="黑体"/>
                                <w:b/>
                                <w:sz w:val="28"/>
                                <w:szCs w:val="28"/>
                              </w:rPr>
                            </w:pPr>
                            <w:r>
                              <w:rPr>
                                <w:rFonts w:hint="eastAsia" w:ascii="黑体" w:hAnsi="宋体" w:eastAsia="黑体"/>
                                <w:b/>
                                <w:sz w:val="28"/>
                                <w:szCs w:val="28"/>
                              </w:rPr>
                              <w:t>正本或副本</w:t>
                            </w:r>
                          </w:p>
                        </w:txbxContent>
                      </wps:txbx>
                      <wps:bodyPr wrap="square" upright="1">
                        <a:spAutoFit/>
                      </wps:bodyPr>
                    </wps:wsp>
                  </a:graphicData>
                </a:graphic>
              </wp:anchor>
            </w:drawing>
          </mc:Choice>
          <mc:Fallback>
            <w:pict>
              <v:rect id="Text Box 2" o:spid="_x0000_s1026" o:spt="1" style="position:absolute;left:0pt;margin-left:319.35pt;margin-top:13.35pt;height:26.1pt;width:89.55pt;z-index:251660288;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Wj5WdcAAAAJAQAADwAAAAAAAAABACAAAAAiAAAAZHJzL2Rvd25yZXYueG1s&#10;UEsBAhQAFAAAAAgAh07iQMBHQtL5AQAAEwQAAA4AAAAAAAAAAQAgAAAAJgEAAGRycy9lMm9Eb2Mu&#10;eG1sUEsFBgAAAAAGAAYAWQEAAJEFA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rect>
            </w:pict>
          </mc:Fallback>
        </mc:AlternateContent>
      </w:r>
    </w:p>
    <w:p>
      <w:pPr>
        <w:spacing w:line="360" w:lineRule="auto"/>
        <w:rPr>
          <w:rFonts w:ascii="宋体" w:hAnsi="宋体" w:cs="宋体"/>
          <w:bCs/>
          <w:color w:val="000000"/>
        </w:rPr>
      </w:pPr>
    </w:p>
    <w:p>
      <w:pPr>
        <w:spacing w:line="360" w:lineRule="auto"/>
        <w:rPr>
          <w:rFonts w:ascii="宋体" w:hAnsi="宋体" w:cs="宋体"/>
          <w:bCs/>
          <w:color w:val="000000"/>
        </w:rPr>
      </w:pPr>
    </w:p>
    <w:p>
      <w:pPr>
        <w:spacing w:line="360" w:lineRule="auto"/>
        <w:jc w:val="right"/>
        <w:rPr>
          <w:rFonts w:ascii="宋体" w:hAnsi="宋体" w:cs="宋体"/>
          <w:color w:val="000000"/>
          <w:sz w:val="24"/>
        </w:rPr>
      </w:pPr>
    </w:p>
    <w:p>
      <w:pPr>
        <w:tabs>
          <w:tab w:val="left" w:pos="7665"/>
        </w:tabs>
        <w:spacing w:line="360" w:lineRule="auto"/>
        <w:jc w:val="center"/>
        <w:outlineLvl w:val="1"/>
        <w:rPr>
          <w:rFonts w:ascii="宋体" w:hAnsi="宋体" w:cs="宋体"/>
          <w:b/>
          <w:color w:val="000000"/>
          <w:sz w:val="48"/>
          <w:szCs w:val="48"/>
        </w:rPr>
      </w:pPr>
      <w:r>
        <w:rPr>
          <w:rFonts w:hint="eastAsia" w:ascii="宋体" w:hAnsi="宋体" w:cs="宋体"/>
          <w:b/>
          <w:color w:val="000000"/>
          <w:sz w:val="48"/>
          <w:szCs w:val="48"/>
        </w:rPr>
        <w:t>资格性投标文件</w:t>
      </w:r>
    </w:p>
    <w:p>
      <w:pPr>
        <w:spacing w:line="360" w:lineRule="auto"/>
        <w:jc w:val="center"/>
        <w:rPr>
          <w:rFonts w:ascii="宋体" w:hAnsi="宋体" w:cs="宋体"/>
          <w:color w:val="000000"/>
          <w:spacing w:val="78"/>
          <w:sz w:val="120"/>
          <w:szCs w:val="120"/>
        </w:rPr>
      </w:pPr>
    </w:p>
    <w:p>
      <w:pPr>
        <w:pStyle w:val="155"/>
        <w:rPr>
          <w:rFonts w:ascii="宋体" w:hAnsi="宋体" w:cs="宋体"/>
          <w:color w:val="000000"/>
          <w:spacing w:val="78"/>
          <w:sz w:val="120"/>
          <w:szCs w:val="120"/>
        </w:rPr>
      </w:pPr>
    </w:p>
    <w:p>
      <w:pPr>
        <w:spacing w:line="480" w:lineRule="auto"/>
        <w:ind w:firstLine="2168" w:firstLineChars="675"/>
        <w:rPr>
          <w:rFonts w:ascii="宋体" w:hAnsi="宋体" w:cs="宋体"/>
          <w:b/>
          <w:bCs/>
          <w:color w:val="000000"/>
          <w:sz w:val="32"/>
          <w:szCs w:val="32"/>
        </w:rPr>
      </w:pPr>
    </w:p>
    <w:p>
      <w:pPr>
        <w:spacing w:line="480" w:lineRule="auto"/>
        <w:ind w:firstLine="2168" w:firstLineChars="675"/>
        <w:rPr>
          <w:rFonts w:ascii="宋体" w:hAnsi="宋体" w:cs="宋体"/>
          <w:b/>
          <w:bCs/>
          <w:color w:val="000000"/>
          <w:sz w:val="32"/>
          <w:szCs w:val="32"/>
          <w:u w:val="single"/>
        </w:rPr>
      </w:pPr>
      <w:r>
        <w:rPr>
          <w:rFonts w:hint="eastAsia" w:ascii="宋体" w:hAnsi="宋体" w:cs="宋体"/>
          <w:b/>
          <w:bCs/>
          <w:color w:val="000000"/>
          <w:sz w:val="32"/>
          <w:szCs w:val="32"/>
        </w:rPr>
        <w:t>项目名称：</w:t>
      </w:r>
      <w:r>
        <w:rPr>
          <w:rFonts w:hint="eastAsia" w:ascii="宋体" w:hAnsi="宋体" w:cs="宋体"/>
          <w:b/>
          <w:bCs/>
          <w:color w:val="000000"/>
          <w:sz w:val="32"/>
          <w:szCs w:val="32"/>
          <w:u w:val="single"/>
        </w:rPr>
        <w:t xml:space="preserve">                    </w:t>
      </w:r>
    </w:p>
    <w:p>
      <w:pPr>
        <w:spacing w:line="480" w:lineRule="auto"/>
        <w:ind w:firstLine="2168" w:firstLineChars="675"/>
        <w:rPr>
          <w:rFonts w:ascii="宋体" w:hAnsi="宋体" w:cs="宋体"/>
          <w:b/>
          <w:bCs/>
          <w:color w:val="000000"/>
          <w:sz w:val="32"/>
          <w:szCs w:val="32"/>
          <w:u w:val="single"/>
        </w:rPr>
      </w:pPr>
      <w:r>
        <w:rPr>
          <w:rFonts w:hint="eastAsia" w:ascii="宋体" w:hAnsi="宋体" w:cs="宋体"/>
          <w:b/>
          <w:bCs/>
          <w:color w:val="000000"/>
          <w:sz w:val="32"/>
          <w:szCs w:val="32"/>
        </w:rPr>
        <w:t>项目编号：</w:t>
      </w:r>
      <w:r>
        <w:rPr>
          <w:rFonts w:hint="eastAsia" w:ascii="宋体" w:hAnsi="宋体" w:cs="宋体"/>
          <w:b/>
          <w:bCs/>
          <w:color w:val="000000"/>
          <w:sz w:val="32"/>
          <w:szCs w:val="32"/>
          <w:u w:val="single"/>
        </w:rPr>
        <w:t xml:space="preserve">                    </w:t>
      </w:r>
    </w:p>
    <w:p>
      <w:pPr>
        <w:spacing w:line="480" w:lineRule="auto"/>
        <w:ind w:firstLine="2168" w:firstLineChars="675"/>
        <w:rPr>
          <w:rFonts w:ascii="宋体" w:hAnsi="宋体" w:cs="宋体"/>
          <w:b/>
          <w:bCs/>
          <w:color w:val="000000"/>
          <w:sz w:val="32"/>
          <w:szCs w:val="32"/>
          <w:u w:val="single"/>
        </w:rPr>
      </w:pPr>
      <w:r>
        <w:rPr>
          <w:rFonts w:hint="eastAsia" w:ascii="宋体" w:hAnsi="宋体" w:cs="宋体"/>
          <w:b/>
          <w:bCs/>
          <w:color w:val="000000"/>
          <w:sz w:val="32"/>
          <w:szCs w:val="32"/>
        </w:rPr>
        <w:t>投标人名称：</w:t>
      </w:r>
      <w:r>
        <w:rPr>
          <w:rFonts w:hint="eastAsia" w:ascii="宋体" w:hAnsi="宋体" w:cs="宋体"/>
          <w:b/>
          <w:bCs/>
          <w:color w:val="000000"/>
          <w:sz w:val="32"/>
          <w:szCs w:val="32"/>
          <w:u w:val="single"/>
        </w:rPr>
        <w:t xml:space="preserve">                  </w:t>
      </w:r>
    </w:p>
    <w:p>
      <w:pPr>
        <w:spacing w:line="360" w:lineRule="auto"/>
        <w:ind w:firstLine="2188" w:firstLineChars="681"/>
        <w:rPr>
          <w:rFonts w:ascii="宋体" w:hAnsi="宋体" w:cs="宋体"/>
          <w:b/>
          <w:bCs/>
          <w:color w:val="000000"/>
          <w:sz w:val="32"/>
          <w:szCs w:val="32"/>
        </w:rPr>
      </w:pPr>
      <w:r>
        <w:rPr>
          <w:rFonts w:hint="eastAsia" w:ascii="宋体" w:hAnsi="宋体" w:cs="宋体"/>
          <w:b/>
          <w:bCs/>
          <w:color w:val="000000"/>
          <w:sz w:val="32"/>
          <w:szCs w:val="32"/>
        </w:rPr>
        <w:t>日期：</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pPr>
        <w:jc w:val="center"/>
        <w:rPr>
          <w:color w:val="000000"/>
          <w:sz w:val="30"/>
          <w:szCs w:val="30"/>
        </w:rPr>
      </w:pPr>
      <w:r>
        <w:rPr>
          <w:rFonts w:hint="eastAsia"/>
          <w:color w:val="000000"/>
          <w:sz w:val="30"/>
          <w:szCs w:val="30"/>
        </w:rPr>
        <w:br w:type="page"/>
      </w:r>
    </w:p>
    <w:p>
      <w:pPr>
        <w:spacing w:before="120" w:beforeLines="50" w:line="360" w:lineRule="auto"/>
        <w:jc w:val="center"/>
        <w:outlineLvl w:val="2"/>
        <w:rPr>
          <w:b/>
          <w:color w:val="000000"/>
          <w:sz w:val="32"/>
          <w:szCs w:val="32"/>
        </w:rPr>
      </w:pPr>
      <w:r>
        <w:rPr>
          <w:rFonts w:hint="eastAsia"/>
          <w:b/>
          <w:color w:val="000000"/>
          <w:sz w:val="32"/>
          <w:szCs w:val="32"/>
        </w:rPr>
        <w:t>一、法定代表人授权书/单位负责人授权书</w:t>
      </w:r>
    </w:p>
    <w:p>
      <w:pPr>
        <w:rPr>
          <w:b/>
          <w:color w:val="000000"/>
          <w:sz w:val="44"/>
        </w:rPr>
      </w:pPr>
    </w:p>
    <w:p>
      <w:pPr>
        <w:spacing w:line="4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（采购代理机构名称）：</w:t>
      </w:r>
    </w:p>
    <w:p>
      <w:pPr>
        <w:spacing w:line="400" w:lineRule="exact"/>
        <w:ind w:firstLine="480" w:firstLineChars="200"/>
        <w:rPr>
          <w:rFonts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（单位名称）,</w:t>
      </w:r>
      <w:r>
        <w:rPr>
          <w:rFonts w:hint="eastAsia" w:ascii="宋体" w:hAnsi="宋体"/>
          <w:color w:val="000000"/>
          <w:sz w:val="24"/>
          <w:u w:val="single"/>
        </w:rPr>
        <w:t xml:space="preserve">          </w:t>
      </w:r>
      <w:r>
        <w:rPr>
          <w:rFonts w:hint="eastAsia" w:ascii="宋体" w:hAnsi="宋体"/>
          <w:color w:val="000000"/>
          <w:sz w:val="24"/>
        </w:rPr>
        <w:t>（法定代表人/单位负责人姓名、职务）授权</w:t>
      </w:r>
      <w:r>
        <w:rPr>
          <w:rFonts w:hint="eastAsia" w:ascii="宋体" w:hAnsi="宋体"/>
          <w:color w:val="000000"/>
          <w:sz w:val="24"/>
          <w:u w:val="single"/>
        </w:rPr>
        <w:t xml:space="preserve">                 </w:t>
      </w:r>
      <w:r>
        <w:rPr>
          <w:rFonts w:hint="eastAsia" w:ascii="宋体" w:hAnsi="宋体"/>
          <w:color w:val="000000"/>
          <w:sz w:val="24"/>
        </w:rPr>
        <w:t>（被授权人姓名、职务）为我方参加“</w:t>
      </w:r>
      <w:r>
        <w:rPr>
          <w:rFonts w:hint="eastAsia" w:ascii="宋体" w:hAnsi="宋体"/>
          <w:color w:val="000000"/>
          <w:sz w:val="24"/>
          <w:u w:val="single"/>
        </w:rPr>
        <w:t xml:space="preserve">      （项目名称）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）投标活动的合法代表，以我方名义全权处理该项目有关投标等一切事宜，我单位均予承认，所产生的法律后果均由我单位承担。</w:t>
      </w:r>
    </w:p>
    <w:p>
      <w:pPr>
        <w:spacing w:line="400" w:lineRule="exact"/>
        <w:ind w:firstLine="480" w:firstLineChars="200"/>
        <w:rPr>
          <w:rFonts w:ascii="宋体" w:hAnsi="宋体"/>
          <w:color w:val="000000"/>
          <w:sz w:val="24"/>
        </w:rPr>
      </w:pPr>
      <w:r>
        <w:rPr>
          <w:rFonts w:hint="eastAsia" w:ascii="宋体" w:hAnsi="宋体"/>
          <w:color w:val="000000"/>
          <w:sz w:val="24"/>
        </w:rPr>
        <w:t>特此声明。</w:t>
      </w:r>
    </w:p>
    <w:p>
      <w:pPr>
        <w:spacing w:line="400" w:lineRule="exact"/>
        <w:ind w:firstLine="480" w:firstLineChars="200"/>
        <w:rPr>
          <w:rFonts w:ascii="宋体" w:hAnsi="宋体"/>
          <w:color w:val="000000"/>
          <w:sz w:val="24"/>
        </w:rPr>
      </w:pPr>
    </w:p>
    <w:p>
      <w:pPr>
        <w:wordWrap w:val="0"/>
        <w:topLinePunct/>
        <w:spacing w:line="440" w:lineRule="exact"/>
        <w:ind w:firstLine="482" w:firstLineChars="200"/>
        <w:rPr>
          <w:rFonts w:ascii="宋体" w:hAnsi="宋体" w:cs="宋体"/>
          <w:b/>
          <w:color w:val="000000"/>
          <w:sz w:val="24"/>
        </w:rPr>
      </w:pPr>
      <w:r>
        <w:rPr>
          <w:rFonts w:hint="eastAsia" w:ascii="宋体" w:hAnsi="宋体" w:cs="宋体"/>
          <w:b/>
          <w:color w:val="000000"/>
          <w:sz w:val="24"/>
        </w:rPr>
        <w:t>附：法定代表人和被授权人身份证复印件正反面</w:t>
      </w:r>
      <w:r>
        <w:rPr>
          <w:rFonts w:hint="eastAsia" w:ascii="宋体" w:hAnsi="宋体" w:cs="宋体"/>
          <w:b/>
          <w:bCs/>
          <w:color w:val="000000"/>
          <w:sz w:val="24"/>
        </w:rPr>
        <w:t>（投标人的法定代表人为外籍人士的，则提供护照复印件）</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法定代表人/单位负责人（签字或加盖个人名章）：</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rPr>
      </w:pPr>
      <w:r>
        <w:rPr>
          <w:rFonts w:hint="eastAsia" w:ascii="宋体" w:hAnsi="宋体"/>
          <w:color w:val="000000"/>
          <w:sz w:val="24"/>
        </w:rPr>
        <w:t>职    务：</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rPr>
      </w:pPr>
      <w:r>
        <w:rPr>
          <w:rFonts w:hint="eastAsia" w:ascii="宋体" w:hAnsi="宋体"/>
          <w:color w:val="000000"/>
          <w:sz w:val="24"/>
        </w:rPr>
        <w:t>被授权人签字：</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rPr>
      </w:pPr>
      <w:r>
        <w:rPr>
          <w:rFonts w:hint="eastAsia" w:ascii="宋体" w:hAnsi="宋体"/>
          <w:color w:val="000000"/>
          <w:sz w:val="24"/>
        </w:rPr>
        <w:t>职    务：</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 xml:space="preserve"> 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color w:val="000000"/>
          <w:sz w:val="24"/>
        </w:rPr>
      </w:pPr>
    </w:p>
    <w:p>
      <w:pPr>
        <w:spacing w:line="400" w:lineRule="exact"/>
        <w:rPr>
          <w:color w:val="000000"/>
          <w:sz w:val="32"/>
        </w:rPr>
      </w:pPr>
    </w:p>
    <w:p>
      <w:pPr>
        <w:spacing w:line="400" w:lineRule="exact"/>
        <w:rPr>
          <w:color w:val="000000"/>
          <w:sz w:val="32"/>
        </w:rPr>
      </w:pPr>
    </w:p>
    <w:p>
      <w:pPr>
        <w:spacing w:line="400" w:lineRule="exact"/>
        <w:rPr>
          <w:color w:val="000000"/>
          <w:sz w:val="32"/>
        </w:rPr>
      </w:pPr>
    </w:p>
    <w:p>
      <w:pPr>
        <w:spacing w:line="400" w:lineRule="exact"/>
        <w:rPr>
          <w:color w:val="000000"/>
          <w:sz w:val="32"/>
        </w:rPr>
      </w:pPr>
    </w:p>
    <w:p>
      <w:pPr>
        <w:spacing w:line="400" w:lineRule="exact"/>
        <w:rPr>
          <w:color w:val="000000"/>
          <w:sz w:val="32"/>
        </w:rPr>
      </w:pPr>
    </w:p>
    <w:p>
      <w:pPr>
        <w:jc w:val="center"/>
        <w:rPr>
          <w:b/>
          <w:color w:val="000000"/>
          <w:sz w:val="32"/>
          <w:szCs w:val="32"/>
        </w:rPr>
      </w:pPr>
    </w:p>
    <w:p>
      <w:pPr>
        <w:jc w:val="center"/>
        <w:rPr>
          <w:b/>
          <w:color w:val="000000"/>
          <w:sz w:val="32"/>
          <w:szCs w:val="32"/>
        </w:rPr>
      </w:pPr>
    </w:p>
    <w:p>
      <w:pPr>
        <w:spacing w:before="120" w:beforeLines="50" w:line="360" w:lineRule="auto"/>
        <w:jc w:val="center"/>
        <w:outlineLvl w:val="2"/>
        <w:rPr>
          <w:b/>
          <w:color w:val="000000"/>
          <w:sz w:val="32"/>
          <w:szCs w:val="32"/>
        </w:rPr>
      </w:pPr>
      <w:r>
        <w:rPr>
          <w:rFonts w:hint="eastAsia" w:hAnsi="宋体"/>
          <w:bCs/>
          <w:color w:val="000000"/>
        </w:rPr>
        <w:br w:type="page"/>
      </w:r>
      <w:r>
        <w:rPr>
          <w:rFonts w:hint="eastAsia"/>
          <w:b/>
          <w:color w:val="000000"/>
          <w:sz w:val="32"/>
          <w:szCs w:val="32"/>
        </w:rPr>
        <w:t>二、</w:t>
      </w:r>
      <w:bookmarkStart w:id="199" w:name="_Toc312417261"/>
      <w:bookmarkStart w:id="200" w:name="_Toc318658791"/>
      <w:r>
        <w:rPr>
          <w:rFonts w:hint="eastAsia"/>
          <w:b/>
          <w:color w:val="000000"/>
          <w:sz w:val="32"/>
          <w:szCs w:val="32"/>
        </w:rPr>
        <w:t>法</w:t>
      </w:r>
      <w:bookmarkEnd w:id="199"/>
      <w:bookmarkEnd w:id="200"/>
      <w:r>
        <w:rPr>
          <w:rFonts w:hint="eastAsia"/>
          <w:b/>
          <w:color w:val="000000"/>
          <w:sz w:val="32"/>
          <w:szCs w:val="32"/>
        </w:rPr>
        <w:t>定代表人/单位负责人身份证明书</w:t>
      </w:r>
    </w:p>
    <w:p>
      <w:pPr>
        <w:pStyle w:val="176"/>
        <w:widowControl w:val="0"/>
        <w:spacing w:line="600" w:lineRule="exact"/>
        <w:rPr>
          <w:rFonts w:hAnsi="宋体"/>
          <w:bCs/>
          <w:color w:val="000000"/>
          <w:kern w:val="2"/>
          <w:szCs w:val="24"/>
        </w:rPr>
      </w:pPr>
    </w:p>
    <w:p>
      <w:pPr>
        <w:spacing w:line="600" w:lineRule="exact"/>
        <w:rPr>
          <w:rFonts w:ascii="宋体" w:hAnsi="宋体"/>
          <w:b/>
          <w:color w:val="000000"/>
          <w:sz w:val="24"/>
        </w:rPr>
      </w:pPr>
    </w:p>
    <w:p>
      <w:pPr>
        <w:spacing w:line="600" w:lineRule="exact"/>
        <w:ind w:firstLine="960" w:firstLineChars="400"/>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pPr>
        <w:spacing w:line="600" w:lineRule="exact"/>
        <w:ind w:firstLine="960" w:firstLineChars="4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600" w:lineRule="exact"/>
        <w:ind w:firstLine="960" w:firstLineChars="40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pPr>
        <w:spacing w:line="600" w:lineRule="exact"/>
        <w:ind w:firstLine="960" w:firstLineChars="4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600" w:lineRule="exact"/>
        <w:ind w:firstLine="960" w:firstLineChars="4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spacing w:line="600" w:lineRule="exact"/>
        <w:ind w:firstLine="960" w:firstLineChars="400"/>
        <w:rPr>
          <w:rFonts w:ascii="宋体" w:hAnsi="宋体"/>
          <w:color w:val="000000"/>
          <w:sz w:val="24"/>
          <w:u w:val="single"/>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 xml:space="preserve">   性 别:</w:t>
      </w:r>
      <w:r>
        <w:rPr>
          <w:rFonts w:hint="eastAsia" w:ascii="宋体" w:hAnsi="宋体"/>
          <w:color w:val="000000"/>
          <w:sz w:val="24"/>
          <w:u w:val="single"/>
        </w:rPr>
        <w:t xml:space="preserve">        </w:t>
      </w:r>
      <w:r>
        <w:rPr>
          <w:rFonts w:hint="eastAsia" w:ascii="宋体" w:hAnsi="宋体"/>
          <w:color w:val="000000"/>
          <w:sz w:val="24"/>
        </w:rPr>
        <w:t xml:space="preserve">  年 龄:</w:t>
      </w:r>
      <w:r>
        <w:rPr>
          <w:rFonts w:hint="eastAsia" w:ascii="宋体" w:hAnsi="宋体"/>
          <w:color w:val="000000"/>
          <w:sz w:val="24"/>
          <w:u w:val="single"/>
        </w:rPr>
        <w:t xml:space="preserve">        </w:t>
      </w:r>
      <w:r>
        <w:rPr>
          <w:rFonts w:hint="eastAsia" w:ascii="宋体" w:hAnsi="宋体"/>
          <w:color w:val="000000"/>
          <w:sz w:val="24"/>
        </w:rPr>
        <w:t xml:space="preserve"> 职 务:</w:t>
      </w:r>
      <w:r>
        <w:rPr>
          <w:rFonts w:hint="eastAsia" w:ascii="宋体" w:hAnsi="宋体"/>
          <w:color w:val="000000"/>
          <w:sz w:val="24"/>
          <w:u w:val="single"/>
        </w:rPr>
        <w:t xml:space="preserve">        </w:t>
      </w:r>
    </w:p>
    <w:p>
      <w:pPr>
        <w:spacing w:line="600" w:lineRule="exact"/>
        <w:ind w:firstLine="936" w:firstLineChars="39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的法定代表人/单位负责人。</w:t>
      </w:r>
    </w:p>
    <w:p>
      <w:pPr>
        <w:spacing w:line="600" w:lineRule="exact"/>
        <w:rPr>
          <w:rFonts w:ascii="宋体" w:hAnsi="宋体"/>
          <w:color w:val="000000"/>
          <w:sz w:val="24"/>
        </w:rPr>
      </w:pPr>
    </w:p>
    <w:p>
      <w:pPr>
        <w:spacing w:line="600" w:lineRule="exact"/>
        <w:ind w:firstLine="610"/>
        <w:rPr>
          <w:rFonts w:ascii="宋体" w:hAnsi="宋体"/>
          <w:color w:val="000000"/>
          <w:sz w:val="24"/>
        </w:rPr>
      </w:pPr>
      <w:r>
        <w:rPr>
          <w:rFonts w:hint="eastAsia" w:ascii="宋体" w:hAnsi="宋体"/>
          <w:color w:val="000000"/>
          <w:sz w:val="24"/>
        </w:rPr>
        <w:t>特此证明。</w:t>
      </w:r>
    </w:p>
    <w:p>
      <w:pPr>
        <w:spacing w:line="600" w:lineRule="exact"/>
        <w:rPr>
          <w:rFonts w:ascii="宋体" w:hAnsi="宋体"/>
          <w:color w:val="000000"/>
        </w:rPr>
      </w:pPr>
    </w:p>
    <w:p>
      <w:pPr>
        <w:wordWrap w:val="0"/>
        <w:topLinePunct/>
        <w:spacing w:line="440" w:lineRule="exact"/>
        <w:ind w:firstLine="482" w:firstLineChars="200"/>
        <w:rPr>
          <w:rFonts w:ascii="宋体" w:hAnsi="宋体" w:cs="宋体"/>
          <w:b/>
          <w:color w:val="000000"/>
          <w:sz w:val="24"/>
        </w:rPr>
      </w:pPr>
      <w:r>
        <w:rPr>
          <w:rFonts w:hint="eastAsia" w:ascii="宋体" w:hAnsi="宋体" w:cs="宋体"/>
          <w:b/>
          <w:color w:val="000000"/>
          <w:sz w:val="24"/>
        </w:rPr>
        <w:t>附：法定代表人/单位负责人身份证复印件正反面</w:t>
      </w:r>
      <w:r>
        <w:rPr>
          <w:rFonts w:hint="eastAsia" w:ascii="宋体" w:hAnsi="宋体" w:cs="宋体"/>
          <w:b/>
          <w:bCs/>
          <w:color w:val="000000"/>
          <w:sz w:val="24"/>
        </w:rPr>
        <w:t>（投标人的法定代表人为外籍人士的，则提供护照复印件）</w:t>
      </w:r>
    </w:p>
    <w:p>
      <w:pPr>
        <w:spacing w:line="600" w:lineRule="exact"/>
        <w:rPr>
          <w:rFonts w:ascii="宋体" w:hAnsi="宋体"/>
          <w:color w:val="000000"/>
        </w:rPr>
      </w:pPr>
    </w:p>
    <w:p>
      <w:pPr>
        <w:spacing w:line="360" w:lineRule="auto"/>
        <w:jc w:val="left"/>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rPr>
          <w:color w:val="000000"/>
          <w:sz w:val="24"/>
          <w:u w:val="single"/>
        </w:rPr>
      </w:pPr>
      <w:r>
        <w:rPr>
          <w:rFonts w:hint="eastAsia"/>
          <w:color w:val="000000"/>
          <w:sz w:val="24"/>
        </w:rPr>
        <w:t>法定代表人/单位负责人/（</w:t>
      </w:r>
      <w:r>
        <w:rPr>
          <w:rFonts w:hint="eastAsia" w:ascii="宋体" w:hAnsi="宋体"/>
          <w:color w:val="000000"/>
          <w:sz w:val="24"/>
        </w:rPr>
        <w:t>签字或加盖个人名章</w:t>
      </w:r>
      <w:r>
        <w:rPr>
          <w:rFonts w:hint="eastAsia"/>
          <w:color w:val="000000"/>
          <w:sz w:val="24"/>
        </w:rPr>
        <w:t>）：</w:t>
      </w:r>
      <w:r>
        <w:rPr>
          <w:rFonts w:hint="eastAsia"/>
          <w:color w:val="000000"/>
          <w:sz w:val="24"/>
          <w:u w:val="single"/>
        </w:rPr>
        <w:t xml:space="preserve">                      </w:t>
      </w:r>
    </w:p>
    <w:p>
      <w:pPr>
        <w:spacing w:line="360" w:lineRule="auto"/>
        <w:rPr>
          <w:color w:val="000000"/>
          <w:sz w:val="24"/>
        </w:rPr>
      </w:pPr>
      <w:r>
        <w:rPr>
          <w:rFonts w:hint="eastAsia"/>
          <w:color w:val="000000"/>
          <w:sz w:val="24"/>
        </w:rPr>
        <w:t>日      期：</w:t>
      </w:r>
      <w:r>
        <w:rPr>
          <w:rFonts w:hint="eastAsia" w:ascii="宋体" w:hAnsi="宋体"/>
          <w:color w:val="000000"/>
          <w:sz w:val="24"/>
          <w:u w:val="single"/>
        </w:rPr>
        <w:t xml:space="preserve">      </w:t>
      </w:r>
      <w:r>
        <w:rPr>
          <w:rFonts w:hint="eastAsia"/>
          <w:color w:val="000000"/>
          <w:sz w:val="24"/>
        </w:rPr>
        <w:t>年</w:t>
      </w:r>
      <w:r>
        <w:rPr>
          <w:rFonts w:hint="eastAsia" w:ascii="宋体" w:hAnsi="宋体"/>
          <w:color w:val="000000"/>
          <w:sz w:val="24"/>
          <w:u w:val="single"/>
        </w:rPr>
        <w:t xml:space="preserve">   </w:t>
      </w:r>
      <w:r>
        <w:rPr>
          <w:rFonts w:hint="eastAsia"/>
          <w:color w:val="000000"/>
          <w:sz w:val="24"/>
        </w:rPr>
        <w:t>月</w:t>
      </w:r>
      <w:r>
        <w:rPr>
          <w:rFonts w:hint="eastAsia" w:ascii="宋体" w:hAnsi="宋体"/>
          <w:color w:val="000000"/>
          <w:sz w:val="24"/>
          <w:u w:val="single"/>
        </w:rPr>
        <w:t xml:space="preserve">   </w:t>
      </w:r>
      <w:r>
        <w:rPr>
          <w:rFonts w:hint="eastAsia"/>
          <w:color w:val="000000"/>
          <w:sz w:val="24"/>
        </w:rPr>
        <w:t>日</w:t>
      </w:r>
    </w:p>
    <w:p>
      <w:pPr>
        <w:spacing w:line="360" w:lineRule="auto"/>
        <w:ind w:firstLine="5040" w:firstLineChars="2100"/>
        <w:rPr>
          <w:rFonts w:ascii="宋体" w:hAnsi="宋体"/>
          <w:bCs/>
          <w:color w:val="000000"/>
          <w:sz w:val="24"/>
          <w:szCs w:val="30"/>
        </w:rPr>
      </w:pPr>
    </w:p>
    <w:p>
      <w:pPr>
        <w:spacing w:line="400" w:lineRule="exact"/>
        <w:ind w:firstLine="5040" w:firstLineChars="2100"/>
        <w:jc w:val="left"/>
        <w:rPr>
          <w:rFonts w:ascii="宋体" w:hAnsi="宋体"/>
          <w:color w:val="000000"/>
          <w:sz w:val="24"/>
        </w:rPr>
      </w:pPr>
    </w:p>
    <w:p>
      <w:pPr>
        <w:spacing w:before="120" w:beforeLines="50" w:line="360" w:lineRule="auto"/>
        <w:jc w:val="center"/>
        <w:outlineLvl w:val="2"/>
        <w:rPr>
          <w:b/>
          <w:color w:val="000000"/>
          <w:sz w:val="32"/>
          <w:szCs w:val="32"/>
        </w:rPr>
      </w:pPr>
      <w:r>
        <w:rPr>
          <w:rFonts w:hint="eastAsia" w:ascii="宋体" w:hAnsi="宋体"/>
          <w:b/>
          <w:color w:val="000000"/>
          <w:sz w:val="32"/>
          <w:szCs w:val="32"/>
        </w:rPr>
        <w:br w:type="page"/>
      </w:r>
      <w:r>
        <w:rPr>
          <w:rFonts w:hint="eastAsia"/>
          <w:b/>
          <w:color w:val="000000"/>
          <w:sz w:val="32"/>
          <w:szCs w:val="32"/>
          <w:lang w:eastAsia="zh-CN"/>
        </w:rPr>
        <w:t>三</w:t>
      </w:r>
      <w:r>
        <w:rPr>
          <w:rFonts w:hint="eastAsia"/>
          <w:b/>
          <w:color w:val="000000"/>
          <w:sz w:val="32"/>
          <w:szCs w:val="32"/>
        </w:rPr>
        <w:t>、承诺函</w:t>
      </w:r>
    </w:p>
    <w:p>
      <w:pPr>
        <w:spacing w:line="36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（采购代理机构名称）：</w:t>
      </w:r>
    </w:p>
    <w:p>
      <w:pPr>
        <w:spacing w:line="360" w:lineRule="auto"/>
        <w:ind w:firstLine="480" w:firstLineChars="200"/>
        <w:rPr>
          <w:rFonts w:ascii="宋体" w:hAnsi="宋体" w:cs="宋体"/>
          <w:color w:val="000000"/>
          <w:sz w:val="24"/>
        </w:rPr>
      </w:pPr>
      <w:r>
        <w:rPr>
          <w:rFonts w:hint="eastAsia" w:ascii="宋体" w:hAnsi="宋体" w:cs="宋体"/>
          <w:color w:val="000000"/>
          <w:sz w:val="24"/>
        </w:rPr>
        <w:t>我方作为本次采购项目的投标人，根据招标文件要求，现郑重承诺及声明如下：</w:t>
      </w:r>
    </w:p>
    <w:p>
      <w:pPr>
        <w:spacing w:line="360" w:lineRule="auto"/>
        <w:ind w:firstLine="480" w:firstLineChars="200"/>
        <w:rPr>
          <w:rFonts w:ascii="宋体" w:hAnsi="宋体" w:cs="宋体"/>
          <w:color w:val="000000"/>
          <w:sz w:val="24"/>
        </w:rPr>
      </w:pPr>
      <w:r>
        <w:rPr>
          <w:rFonts w:hint="eastAsia" w:ascii="宋体" w:hAnsi="宋体" w:cs="宋体"/>
          <w:color w:val="000000"/>
          <w:sz w:val="24"/>
        </w:rPr>
        <w:t>1.我方具有良好的商业信誉；</w:t>
      </w:r>
    </w:p>
    <w:p>
      <w:pPr>
        <w:spacing w:line="360" w:lineRule="auto"/>
        <w:ind w:firstLine="480" w:firstLineChars="200"/>
        <w:rPr>
          <w:rFonts w:ascii="宋体" w:hAnsi="宋体" w:cs="宋体"/>
          <w:color w:val="000000"/>
          <w:sz w:val="24"/>
        </w:rPr>
      </w:pPr>
      <w:r>
        <w:rPr>
          <w:rFonts w:hint="eastAsia" w:ascii="宋体" w:hAnsi="宋体" w:cs="宋体"/>
          <w:color w:val="000000"/>
          <w:sz w:val="24"/>
        </w:rPr>
        <w:t>2.我方具有履行合同所必需的设备和专业技术能力；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3.具有依法缴纳税收和社会保障资金的良好记录；</w:t>
      </w:r>
    </w:p>
    <w:p>
      <w:pPr>
        <w:spacing w:line="360" w:lineRule="auto"/>
        <w:ind w:firstLine="480" w:firstLineChars="200"/>
        <w:rPr>
          <w:rFonts w:ascii="宋体" w:hAnsi="宋体" w:cs="宋体"/>
          <w:color w:val="000000"/>
          <w:sz w:val="24"/>
        </w:rPr>
      </w:pPr>
      <w:r>
        <w:rPr>
          <w:rFonts w:hint="eastAsia" w:ascii="宋体" w:hAnsi="宋体" w:cs="宋体"/>
          <w:color w:val="000000"/>
          <w:sz w:val="24"/>
        </w:rPr>
        <w:t>4.我方参加本次采购活动前三年内，在经营活动中没有重大违法记录（供应商成立不足三年的，从成立之日起计算）；</w:t>
      </w:r>
    </w:p>
    <w:p>
      <w:pPr>
        <w:spacing w:line="360" w:lineRule="auto"/>
        <w:ind w:firstLine="480" w:firstLineChars="200"/>
        <w:rPr>
          <w:rFonts w:ascii="宋体" w:hAnsi="宋体" w:cs="宋体"/>
          <w:color w:val="000000"/>
          <w:sz w:val="24"/>
        </w:rPr>
      </w:pPr>
      <w:r>
        <w:rPr>
          <w:rFonts w:hint="eastAsia" w:ascii="宋体" w:hAnsi="宋体" w:cs="宋体"/>
          <w:color w:val="000000"/>
          <w:sz w:val="24"/>
        </w:rPr>
        <w:t>5.符合法律、行政法规规定的其他条件。</w:t>
      </w:r>
    </w:p>
    <w:p>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我方对上述承诺的内容事项真实性、合法性负责。如经查实上述承诺的内容事项存在虚假，我方自愿接受以提供虚假材料谋取中标所带来的所有法律责任。</w:t>
      </w:r>
    </w:p>
    <w:p>
      <w:pPr>
        <w:spacing w:line="360" w:lineRule="auto"/>
        <w:ind w:firstLine="422" w:firstLineChars="200"/>
        <w:jc w:val="left"/>
        <w:rPr>
          <w:rFonts w:ascii="宋体" w:hAnsi="宋体" w:cs="宋体"/>
          <w:b/>
          <w:color w:val="000000"/>
        </w:rPr>
      </w:pPr>
    </w:p>
    <w:p>
      <w:pPr>
        <w:spacing w:line="360" w:lineRule="auto"/>
        <w:ind w:firstLine="422" w:firstLineChars="200"/>
        <w:jc w:val="left"/>
        <w:rPr>
          <w:rFonts w:ascii="宋体" w:hAnsi="宋体"/>
          <w:b/>
          <w:color w:val="000000"/>
        </w:rPr>
      </w:pPr>
      <w:r>
        <w:rPr>
          <w:rFonts w:ascii="宋体" w:hAnsi="宋体"/>
          <w:b/>
          <w:color w:val="000000"/>
        </w:rPr>
        <w:t>注</w:t>
      </w:r>
      <w:r>
        <w:rPr>
          <w:rFonts w:hint="eastAsia" w:ascii="宋体" w:hAnsi="宋体"/>
          <w:b/>
          <w:color w:val="000000"/>
        </w:rPr>
        <w:t>：</w:t>
      </w:r>
      <w:r>
        <w:rPr>
          <w:rFonts w:ascii="宋体" w:hAnsi="宋体"/>
          <w:b/>
          <w:color w:val="000000"/>
        </w:rPr>
        <w:t>第五章资格证明材料中要求提供承诺函的</w:t>
      </w:r>
      <w:r>
        <w:rPr>
          <w:rFonts w:hint="eastAsia" w:ascii="宋体" w:hAnsi="宋体"/>
          <w:b/>
          <w:color w:val="000000"/>
        </w:rPr>
        <w:t>，</w:t>
      </w:r>
      <w:r>
        <w:rPr>
          <w:rFonts w:ascii="宋体" w:hAnsi="宋体"/>
          <w:b/>
          <w:color w:val="000000"/>
        </w:rPr>
        <w:t>本承诺函</w:t>
      </w:r>
      <w:r>
        <w:rPr>
          <w:rFonts w:hint="eastAsia" w:ascii="宋体" w:hAnsi="宋体"/>
          <w:b/>
          <w:color w:val="000000"/>
        </w:rPr>
        <w:t>已</w:t>
      </w:r>
      <w:r>
        <w:rPr>
          <w:rFonts w:ascii="宋体" w:hAnsi="宋体"/>
          <w:b/>
          <w:color w:val="000000"/>
        </w:rPr>
        <w:t>包含相关内容的</w:t>
      </w:r>
      <w:r>
        <w:rPr>
          <w:rFonts w:hint="eastAsia" w:ascii="宋体" w:hAnsi="宋体"/>
          <w:b/>
          <w:color w:val="000000"/>
        </w:rPr>
        <w:t>，按本格式提供一次即可，也可逐条提供承诺函（格式自拟），均为有效。</w:t>
      </w:r>
    </w:p>
    <w:p>
      <w:pPr>
        <w:spacing w:line="360" w:lineRule="auto"/>
        <w:jc w:val="left"/>
        <w:rPr>
          <w:rFonts w:ascii="宋体" w:hAnsi="宋体"/>
          <w:color w:val="000000"/>
          <w:sz w:val="24"/>
        </w:rPr>
      </w:pPr>
    </w:p>
    <w:p>
      <w:pPr>
        <w:spacing w:line="360" w:lineRule="auto"/>
        <w:jc w:val="left"/>
        <w:rPr>
          <w:rFonts w:ascii="宋体" w:hAnsi="宋体"/>
          <w:color w:val="000000"/>
          <w:sz w:val="24"/>
        </w:rPr>
      </w:pPr>
    </w:p>
    <w:p>
      <w:pPr>
        <w:spacing w:line="360" w:lineRule="auto"/>
        <w:jc w:val="left"/>
        <w:rPr>
          <w:rFonts w:ascii="宋体" w:hAnsi="宋体"/>
          <w:color w:val="000000"/>
          <w:sz w:val="24"/>
        </w:rPr>
      </w:pPr>
    </w:p>
    <w:p>
      <w:pPr>
        <w:spacing w:line="360" w:lineRule="auto"/>
        <w:jc w:val="left"/>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rPr>
          <w:color w:val="000000"/>
          <w:sz w:val="24"/>
        </w:rPr>
      </w:pPr>
      <w:r>
        <w:rPr>
          <w:rFonts w:hint="eastAsia"/>
          <w:color w:val="000000"/>
          <w:sz w:val="24"/>
        </w:rPr>
        <w:t>法定代表人/单位负责人/授权代表（</w:t>
      </w:r>
      <w:r>
        <w:rPr>
          <w:rFonts w:hint="eastAsia" w:ascii="宋体" w:hAnsi="宋体"/>
          <w:color w:val="000000"/>
          <w:sz w:val="24"/>
        </w:rPr>
        <w:t>签字或加盖个人名章</w:t>
      </w:r>
      <w:r>
        <w:rPr>
          <w:rFonts w:hint="eastAsia"/>
          <w:color w:val="000000"/>
          <w:sz w:val="24"/>
        </w:rPr>
        <w:t>）：</w:t>
      </w:r>
      <w:r>
        <w:rPr>
          <w:rFonts w:hint="eastAsia" w:ascii="宋体" w:hAnsi="宋体"/>
          <w:color w:val="000000"/>
          <w:sz w:val="24"/>
          <w:u w:val="single"/>
        </w:rPr>
        <w:t xml:space="preserve">           </w:t>
      </w:r>
    </w:p>
    <w:p>
      <w:pPr>
        <w:spacing w:line="360" w:lineRule="auto"/>
        <w:rPr>
          <w:color w:val="000000"/>
          <w:sz w:val="24"/>
        </w:rPr>
      </w:pPr>
      <w:r>
        <w:rPr>
          <w:rFonts w:hint="eastAsia"/>
          <w:color w:val="000000"/>
          <w:sz w:val="24"/>
        </w:rPr>
        <w:t>日      期：</w:t>
      </w:r>
      <w:r>
        <w:rPr>
          <w:rFonts w:hint="eastAsia" w:ascii="宋体" w:hAnsi="宋体"/>
          <w:color w:val="000000"/>
          <w:sz w:val="24"/>
          <w:u w:val="single"/>
        </w:rPr>
        <w:t xml:space="preserve">      </w:t>
      </w:r>
      <w:r>
        <w:rPr>
          <w:rFonts w:hint="eastAsia"/>
          <w:color w:val="000000"/>
          <w:sz w:val="24"/>
        </w:rPr>
        <w:t>年</w:t>
      </w:r>
      <w:r>
        <w:rPr>
          <w:rFonts w:hint="eastAsia" w:ascii="宋体" w:hAnsi="宋体"/>
          <w:color w:val="000000"/>
          <w:sz w:val="24"/>
          <w:u w:val="single"/>
        </w:rPr>
        <w:t xml:space="preserve">   </w:t>
      </w:r>
      <w:r>
        <w:rPr>
          <w:rFonts w:hint="eastAsia"/>
          <w:color w:val="000000"/>
          <w:sz w:val="24"/>
        </w:rPr>
        <w:t>月</w:t>
      </w:r>
      <w:r>
        <w:rPr>
          <w:rFonts w:hint="eastAsia" w:ascii="宋体" w:hAnsi="宋体"/>
          <w:color w:val="000000"/>
          <w:sz w:val="24"/>
          <w:u w:val="single"/>
        </w:rPr>
        <w:t xml:space="preserve">   </w:t>
      </w:r>
      <w:r>
        <w:rPr>
          <w:rFonts w:hint="eastAsia"/>
          <w:color w:val="000000"/>
          <w:sz w:val="24"/>
        </w:rPr>
        <w:t xml:space="preserve">日 </w:t>
      </w:r>
    </w:p>
    <w:p>
      <w:pPr>
        <w:spacing w:before="120" w:beforeLines="50" w:line="360" w:lineRule="auto"/>
        <w:ind w:firstLine="626"/>
        <w:jc w:val="center"/>
        <w:outlineLvl w:val="2"/>
        <w:rPr>
          <w:rFonts w:ascii="宋体" w:hAnsi="宋体" w:cs="宋体"/>
          <w:b/>
          <w:color w:val="000000"/>
          <w:sz w:val="32"/>
          <w:szCs w:val="32"/>
        </w:rPr>
      </w:pPr>
      <w:r>
        <w:rPr>
          <w:rFonts w:hint="eastAsia" w:ascii="宋体" w:hAnsi="宋体"/>
          <w:color w:val="000000"/>
          <w:sz w:val="24"/>
        </w:rPr>
        <w:br w:type="page"/>
      </w:r>
      <w:r>
        <w:rPr>
          <w:rFonts w:hint="eastAsia"/>
          <w:b/>
          <w:color w:val="000000"/>
          <w:sz w:val="32"/>
          <w:szCs w:val="32"/>
        </w:rPr>
        <w:t>五、</w:t>
      </w:r>
      <w:r>
        <w:rPr>
          <w:rFonts w:hint="eastAsia" w:ascii="宋体" w:hAnsi="宋体" w:cs="宋体"/>
          <w:b/>
          <w:color w:val="000000"/>
          <w:sz w:val="32"/>
          <w:szCs w:val="32"/>
        </w:rPr>
        <w:t>投标人及其现任法定代表人、主要负责人不具有行贿犯罪记录的承诺函</w:t>
      </w:r>
    </w:p>
    <w:p>
      <w:pPr>
        <w:widowControl/>
        <w:spacing w:line="440" w:lineRule="exact"/>
        <w:rPr>
          <w:rFonts w:ascii="宋体" w:hAnsi="宋体" w:cs="宋体"/>
          <w:b/>
          <w:color w:val="000000"/>
          <w:sz w:val="32"/>
          <w:szCs w:val="32"/>
        </w:rPr>
      </w:pPr>
    </w:p>
    <w:p>
      <w:pPr>
        <w:pStyle w:val="21"/>
        <w:rPr>
          <w:rFonts w:ascii="宋体" w:hAnsi="宋体" w:cs="宋体"/>
          <w:color w:val="000000"/>
        </w:rPr>
      </w:pPr>
    </w:p>
    <w:p>
      <w:pPr>
        <w:spacing w:line="360" w:lineRule="auto"/>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（采购代理机构名称）：</w:t>
      </w:r>
    </w:p>
    <w:p>
      <w:pPr>
        <w:widowControl/>
        <w:spacing w:after="156" w:line="360" w:lineRule="auto"/>
        <w:ind w:firstLine="560"/>
        <w:jc w:val="left"/>
        <w:rPr>
          <w:rFonts w:ascii="宋体" w:hAnsi="宋体" w:cs="宋体"/>
          <w:color w:val="000000"/>
          <w:sz w:val="24"/>
        </w:rPr>
      </w:pPr>
      <w:r>
        <w:rPr>
          <w:rFonts w:hint="eastAsia" w:ascii="宋体" w:hAnsi="宋体" w:cs="宋体"/>
          <w:color w:val="000000"/>
          <w:sz w:val="24"/>
        </w:rPr>
        <w:t>我方在参加本采购项目的前三年内（成立时间不足三年的，承诺时间从成立之日算起），</w:t>
      </w:r>
      <w:r>
        <w:rPr>
          <w:rFonts w:hint="eastAsia" w:ascii="宋体" w:hAnsi="宋体" w:cs="宋体"/>
          <w:color w:val="000000"/>
          <w:sz w:val="24"/>
          <w:u w:val="single"/>
        </w:rPr>
        <w:t>我方（投标人名称）</w:t>
      </w:r>
      <w:r>
        <w:rPr>
          <w:rFonts w:hint="eastAsia" w:ascii="宋体" w:hAnsi="宋体" w:cs="宋体"/>
          <w:color w:val="000000"/>
          <w:sz w:val="24"/>
        </w:rPr>
        <w:t>、</w:t>
      </w:r>
      <w:r>
        <w:rPr>
          <w:rFonts w:hint="eastAsia" w:ascii="宋体" w:hAnsi="宋体" w:cs="宋体"/>
          <w:color w:val="000000"/>
          <w:sz w:val="24"/>
          <w:u w:val="single"/>
        </w:rPr>
        <w:t>法定代表人（姓名、身份证号）、主要负责人（姓名、身份证号）</w:t>
      </w:r>
      <w:r>
        <w:rPr>
          <w:rFonts w:hint="eastAsia" w:ascii="宋体" w:hAnsi="宋体" w:cs="宋体"/>
          <w:color w:val="000000"/>
          <w:sz w:val="24"/>
        </w:rPr>
        <w:t>均无行贿犯罪记录。</w:t>
      </w:r>
    </w:p>
    <w:p>
      <w:pPr>
        <w:widowControl/>
        <w:spacing w:after="156" w:line="360" w:lineRule="auto"/>
        <w:ind w:firstLine="560"/>
        <w:jc w:val="left"/>
        <w:rPr>
          <w:rFonts w:ascii="宋体" w:hAnsi="宋体" w:cs="宋体"/>
          <w:color w:val="000000"/>
          <w:sz w:val="24"/>
        </w:rPr>
      </w:pPr>
      <w:r>
        <w:rPr>
          <w:rFonts w:hint="eastAsia" w:ascii="宋体" w:hAnsi="宋体" w:cs="宋体"/>
          <w:color w:val="000000"/>
          <w:sz w:val="24"/>
        </w:rPr>
        <w:t>我方对上述承诺的内容事项真实性负责。如经查实上述承诺的内容事项存在虚假，我方愿意接受以提供虚假材料谋取中标追究法律责任。</w:t>
      </w:r>
    </w:p>
    <w:p>
      <w:pPr>
        <w:spacing w:after="120" w:afterLines="50" w:line="360" w:lineRule="auto"/>
        <w:ind w:firstLine="480"/>
        <w:jc w:val="left"/>
        <w:rPr>
          <w:rFonts w:ascii="宋体" w:hAnsi="宋体" w:cs="宋体"/>
          <w:color w:val="000000"/>
          <w:sz w:val="24"/>
          <w:szCs w:val="18"/>
        </w:rPr>
      </w:pPr>
      <w:r>
        <w:rPr>
          <w:rFonts w:hint="eastAsia" w:ascii="宋体" w:hAnsi="宋体" w:cs="宋体"/>
          <w:color w:val="000000"/>
          <w:sz w:val="24"/>
          <w:szCs w:val="18"/>
        </w:rPr>
        <w:t>我方法定代表人</w:t>
      </w:r>
      <w:r>
        <w:rPr>
          <w:rFonts w:hint="eastAsia" w:ascii="宋体" w:hAnsi="宋体" w:cs="宋体"/>
          <w:color w:val="000000"/>
          <w:sz w:val="24"/>
          <w:szCs w:val="18"/>
          <w:u w:val="single"/>
        </w:rPr>
        <w:t xml:space="preserve">       </w:t>
      </w:r>
      <w:r>
        <w:rPr>
          <w:rFonts w:hint="eastAsia" w:ascii="宋体" w:hAnsi="宋体" w:cs="宋体"/>
          <w:color w:val="000000"/>
          <w:sz w:val="24"/>
          <w:szCs w:val="18"/>
        </w:rPr>
        <w:t>（填写是或不是）我单位主要负责人。</w:t>
      </w:r>
    </w:p>
    <w:p>
      <w:pPr>
        <w:spacing w:after="120" w:afterLines="50" w:line="360" w:lineRule="auto"/>
        <w:ind w:firstLine="560"/>
        <w:jc w:val="left"/>
        <w:rPr>
          <w:rFonts w:ascii="宋体" w:hAnsi="宋体" w:cs="宋体"/>
          <w:color w:val="000000"/>
          <w:sz w:val="28"/>
        </w:rPr>
      </w:pPr>
    </w:p>
    <w:p>
      <w:pPr>
        <w:spacing w:line="360" w:lineRule="auto"/>
        <w:jc w:val="left"/>
        <w:rPr>
          <w:rFonts w:ascii="宋体" w:hAnsi="宋体" w:cs="宋体"/>
          <w:color w:val="000000"/>
          <w:sz w:val="24"/>
        </w:rPr>
      </w:pPr>
      <w:r>
        <w:rPr>
          <w:rFonts w:hint="eastAsia" w:ascii="宋体" w:hAnsi="宋体" w:cs="宋体"/>
          <w:color w:val="000000"/>
          <w:sz w:val="24"/>
        </w:rPr>
        <w:t>投标人名称（盖单位公章）：</w:t>
      </w:r>
      <w:r>
        <w:rPr>
          <w:rFonts w:hint="eastAsia" w:ascii="宋体" w:hAnsi="宋体" w:cs="宋体"/>
          <w:color w:val="000000"/>
          <w:sz w:val="24"/>
          <w:u w:val="single"/>
        </w:rPr>
        <w:t xml:space="preserve">                     </w:t>
      </w:r>
    </w:p>
    <w:p>
      <w:pPr>
        <w:spacing w:line="360" w:lineRule="auto"/>
        <w:rPr>
          <w:rFonts w:ascii="宋体" w:hAnsi="宋体" w:cs="宋体"/>
          <w:color w:val="000000"/>
          <w:sz w:val="24"/>
        </w:rPr>
      </w:pPr>
      <w:r>
        <w:rPr>
          <w:rFonts w:hint="eastAsia" w:ascii="宋体" w:hAnsi="宋体" w:cs="宋体"/>
          <w:color w:val="000000"/>
          <w:sz w:val="24"/>
        </w:rPr>
        <w:t>法定代表人/单位负责人/授权代表（签字或加盖个人名章）：</w:t>
      </w:r>
      <w:r>
        <w:rPr>
          <w:rFonts w:hint="eastAsia" w:ascii="宋体" w:hAnsi="宋体" w:cs="宋体"/>
          <w:color w:val="000000"/>
          <w:sz w:val="24"/>
          <w:u w:val="single"/>
        </w:rPr>
        <w:t xml:space="preserve">           </w:t>
      </w:r>
    </w:p>
    <w:p>
      <w:pPr>
        <w:spacing w:line="360" w:lineRule="auto"/>
        <w:rPr>
          <w:rFonts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 xml:space="preserve">日 </w:t>
      </w:r>
    </w:p>
    <w:p>
      <w:pPr>
        <w:ind w:firstLine="560"/>
        <w:rPr>
          <w:rFonts w:ascii="宋体" w:hAnsi="宋体" w:cs="宋体"/>
          <w:color w:val="000000"/>
          <w:sz w:val="28"/>
        </w:rPr>
      </w:pPr>
    </w:p>
    <w:p>
      <w:pPr>
        <w:spacing w:line="360" w:lineRule="auto"/>
        <w:ind w:firstLine="420" w:firstLineChars="200"/>
        <w:rPr>
          <w:rFonts w:ascii="宋体" w:hAnsi="宋体" w:cs="宋体"/>
          <w:color w:val="000000"/>
        </w:rPr>
      </w:pPr>
    </w:p>
    <w:p>
      <w:pPr>
        <w:spacing w:line="360" w:lineRule="auto"/>
        <w:ind w:firstLine="420" w:firstLineChars="200"/>
        <w:rPr>
          <w:rFonts w:ascii="宋体" w:hAnsi="宋体" w:cs="宋体"/>
          <w:color w:val="000000"/>
        </w:rPr>
      </w:pPr>
    </w:p>
    <w:p>
      <w:pPr>
        <w:spacing w:line="360" w:lineRule="auto"/>
        <w:ind w:firstLine="420" w:firstLineChars="200"/>
        <w:rPr>
          <w:rFonts w:ascii="宋体" w:hAnsi="宋体" w:cs="宋体"/>
          <w:color w:val="000000"/>
        </w:rPr>
      </w:pPr>
      <w:r>
        <w:rPr>
          <w:rFonts w:hint="eastAsia" w:ascii="宋体" w:hAnsi="宋体" w:cs="宋体"/>
          <w:color w:val="000000"/>
        </w:rPr>
        <w:t>注：1、如供应商单位及现任法定代表人、主要负责人经查实在本次采购活动前三年内具有行贿犯罪记录的，则按提供虚假材料进行处理，将取消其中标资格。</w:t>
      </w:r>
    </w:p>
    <w:p>
      <w:pPr>
        <w:spacing w:line="360" w:lineRule="auto"/>
        <w:ind w:firstLine="420" w:firstLineChars="200"/>
        <w:rPr>
          <w:rFonts w:ascii="宋体" w:hAnsi="宋体" w:cs="宋体"/>
          <w:color w:val="000000"/>
        </w:rPr>
      </w:pPr>
      <w:r>
        <w:rPr>
          <w:rFonts w:hint="eastAsia" w:ascii="宋体" w:hAnsi="宋体" w:cs="宋体"/>
          <w:color w:val="000000"/>
        </w:rPr>
        <w:t>2、未提供本承诺函的，供应商可以通过“中国裁判文书网”自行查询供应商及其现任法定代表人、主要负责人的行贿犯罪记录，并提供查询网页截图（现任法定代表人、主要负责人为同一人的需进行情况说明）；</w:t>
      </w:r>
    </w:p>
    <w:p>
      <w:pPr>
        <w:spacing w:line="360" w:lineRule="auto"/>
        <w:ind w:firstLine="420" w:firstLineChars="200"/>
        <w:rPr>
          <w:rFonts w:ascii="宋体" w:hAnsi="宋体" w:cs="宋体"/>
          <w:color w:val="000000"/>
        </w:rPr>
      </w:pPr>
      <w:r>
        <w:rPr>
          <w:rFonts w:hint="eastAsia" w:ascii="宋体" w:hAnsi="宋体" w:cs="宋体"/>
          <w:color w:val="000000"/>
        </w:rPr>
        <w:t>3、供应商若未提供承诺函或截图的，供应商应在投标文件中注明供应商名称（全称）、现任法定代表人（姓名、身份证号）、主要负责人（姓名、身份证号）（其中，现任法定代表人、主要负责人为同一人的需进行情况说明）以便于采购代理机构查询。若因供应商未提供相关信息导致代理机构无法查询导致投标文件无效的，由供应商承担相应责任。</w:t>
      </w:r>
    </w:p>
    <w:p>
      <w:pPr>
        <w:spacing w:before="120" w:beforeLines="50" w:line="360" w:lineRule="auto"/>
        <w:jc w:val="center"/>
        <w:outlineLvl w:val="2"/>
        <w:rPr>
          <w:rFonts w:ascii="宋体" w:hAnsi="宋体" w:cs="宋体"/>
          <w:b/>
          <w:color w:val="000000"/>
          <w:sz w:val="32"/>
          <w:szCs w:val="32"/>
        </w:rPr>
      </w:pPr>
      <w:r>
        <w:rPr>
          <w:color w:val="000000"/>
        </w:rPr>
        <w:br w:type="page"/>
      </w:r>
      <w:r>
        <w:rPr>
          <w:rFonts w:hint="eastAsia" w:ascii="宋体" w:hAnsi="宋体" w:cs="宋体"/>
          <w:b/>
          <w:color w:val="000000"/>
          <w:sz w:val="32"/>
          <w:szCs w:val="32"/>
        </w:rPr>
        <w:t>六、投标人资质性及其他类似效力要求承诺函</w:t>
      </w:r>
    </w:p>
    <w:p>
      <w:pPr>
        <w:spacing w:before="120" w:beforeLines="50" w:after="120" w:afterLines="50" w:line="360" w:lineRule="auto"/>
        <w:jc w:val="left"/>
        <w:rPr>
          <w:rFonts w:ascii="宋体" w:hAnsi="宋体"/>
          <w:color w:val="000000"/>
          <w:sz w:val="24"/>
        </w:rPr>
      </w:pPr>
      <w:r>
        <w:rPr>
          <w:rFonts w:hint="eastAsia" w:ascii="宋体" w:hAnsi="宋体"/>
          <w:bCs/>
          <w:color w:val="000000"/>
          <w:sz w:val="24"/>
          <w:u w:val="single"/>
        </w:rPr>
        <w:t xml:space="preserve">                  </w:t>
      </w:r>
      <w:r>
        <w:rPr>
          <w:rFonts w:hint="eastAsia" w:ascii="宋体" w:hAnsi="宋体"/>
          <w:color w:val="000000"/>
          <w:sz w:val="24"/>
        </w:rPr>
        <w:t xml:space="preserve"> （采购代理机构名称）：</w:t>
      </w:r>
    </w:p>
    <w:p>
      <w:pPr>
        <w:spacing w:before="120" w:beforeLines="50" w:after="120" w:line="360" w:lineRule="auto"/>
        <w:ind w:firstLine="480" w:firstLineChars="200"/>
        <w:jc w:val="left"/>
        <w:rPr>
          <w:rFonts w:ascii="宋体" w:hAnsi="宋体"/>
          <w:color w:val="000000"/>
          <w:sz w:val="24"/>
        </w:rPr>
      </w:pPr>
      <w:r>
        <w:rPr>
          <w:rFonts w:hint="eastAsia" w:ascii="宋体" w:hAnsi="宋体"/>
          <w:color w:val="000000"/>
          <w:sz w:val="24"/>
        </w:rPr>
        <w:t>我方作为本次采购项目的供应商，根据招标文件中规定的实质性要求，现郑重承诺如下：</w:t>
      </w:r>
    </w:p>
    <w:p>
      <w:pPr>
        <w:tabs>
          <w:tab w:val="left" w:pos="7665"/>
        </w:tabs>
        <w:spacing w:line="360" w:lineRule="auto"/>
        <w:ind w:firstLine="480"/>
        <w:rPr>
          <w:rFonts w:ascii="宋体" w:hAnsi="宋体" w:cs="宋体"/>
          <w:bCs/>
          <w:color w:val="000000"/>
          <w:kern w:val="0"/>
          <w:sz w:val="24"/>
        </w:rPr>
      </w:pPr>
      <w:r>
        <w:rPr>
          <w:rFonts w:hint="eastAsia"/>
          <w:color w:val="000000"/>
          <w:sz w:val="24"/>
        </w:rPr>
        <w:t>1、</w:t>
      </w:r>
      <w:r>
        <w:rPr>
          <w:color w:val="000000"/>
          <w:sz w:val="24"/>
        </w:rPr>
        <w:t>我方未与</w:t>
      </w:r>
      <w:r>
        <w:rPr>
          <w:rFonts w:hint="eastAsia" w:ascii="宋体" w:hAnsi="宋体" w:cs="宋体"/>
          <w:bCs/>
          <w:color w:val="000000"/>
          <w:kern w:val="0"/>
          <w:sz w:val="24"/>
        </w:rPr>
        <w:t>单位负责人为同一人或者存在直接控股、管理关系的不同供应商，参加同一合同项下的政府采购活动；</w:t>
      </w:r>
    </w:p>
    <w:p>
      <w:pPr>
        <w:tabs>
          <w:tab w:val="left" w:pos="7665"/>
        </w:tabs>
        <w:spacing w:line="360" w:lineRule="auto"/>
        <w:ind w:firstLine="480"/>
        <w:rPr>
          <w:color w:val="000000"/>
          <w:sz w:val="24"/>
        </w:rPr>
      </w:pPr>
      <w:r>
        <w:rPr>
          <w:rFonts w:hint="eastAsia" w:ascii="宋体" w:hAnsi="宋体" w:cs="宋体"/>
          <w:bCs/>
          <w:color w:val="000000"/>
          <w:kern w:val="0"/>
          <w:sz w:val="24"/>
        </w:rPr>
        <w:t>2、</w:t>
      </w:r>
      <w:r>
        <w:rPr>
          <w:rFonts w:hint="eastAsia"/>
          <w:color w:val="000000"/>
          <w:sz w:val="24"/>
        </w:rPr>
        <w:t>我方未对采购项目提供整体设计、规范编制或者项目管理、监理、检测等服务。</w:t>
      </w:r>
    </w:p>
    <w:p>
      <w:pPr>
        <w:tabs>
          <w:tab w:val="left" w:pos="7665"/>
        </w:tabs>
        <w:spacing w:line="360" w:lineRule="auto"/>
        <w:ind w:firstLine="480"/>
        <w:rPr>
          <w:color w:val="000000"/>
          <w:sz w:val="24"/>
        </w:rPr>
      </w:pPr>
      <w:r>
        <w:rPr>
          <w:rFonts w:hint="eastAsia"/>
          <w:color w:val="000000"/>
          <w:sz w:val="24"/>
        </w:rPr>
        <w:t>3、国家或行业主管部门对供应商和采购产品的技术标准、质量标准和资格资质条件等有 强制性规定的，我方符合其要求。</w:t>
      </w:r>
    </w:p>
    <w:p>
      <w:pPr>
        <w:tabs>
          <w:tab w:val="left" w:pos="7665"/>
        </w:tabs>
        <w:spacing w:line="360" w:lineRule="auto"/>
        <w:ind w:firstLine="480"/>
        <w:rPr>
          <w:color w:val="000000"/>
          <w:sz w:val="24"/>
        </w:rPr>
      </w:pPr>
      <w:r>
        <w:rPr>
          <w:rFonts w:hint="eastAsia"/>
          <w:color w:val="000000"/>
          <w:sz w:val="24"/>
        </w:rPr>
        <w:t>我方对上述承诺的内容事项真实性负责。如经查实上述承诺的内容事项存在虚假，我方愿意接受以提供虚假材料谋取成交的法律责任。</w:t>
      </w:r>
    </w:p>
    <w:p>
      <w:pPr>
        <w:spacing w:line="360" w:lineRule="auto"/>
        <w:jc w:val="left"/>
        <w:rPr>
          <w:rFonts w:ascii="宋体" w:hAnsi="宋体" w:cs="宋体"/>
          <w:color w:val="000000"/>
          <w:sz w:val="24"/>
        </w:rPr>
      </w:pP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投标人名称（盖单位公章）：</w:t>
      </w:r>
      <w:r>
        <w:rPr>
          <w:rFonts w:hint="eastAsia" w:ascii="宋体" w:hAnsi="宋体" w:cs="宋体"/>
          <w:color w:val="000000"/>
          <w:sz w:val="24"/>
          <w:u w:val="single"/>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法定代表人/单位负责人/授权代表（签字或加盖个人名章）：</w:t>
      </w:r>
      <w:r>
        <w:rPr>
          <w:rFonts w:hint="eastAsia" w:ascii="宋体" w:hAnsi="宋体" w:cs="宋体"/>
          <w:color w:val="000000"/>
          <w:sz w:val="24"/>
          <w:u w:val="single"/>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 xml:space="preserve">日 </w:t>
      </w:r>
    </w:p>
    <w:p>
      <w:pPr>
        <w:tabs>
          <w:tab w:val="left" w:pos="7665"/>
        </w:tabs>
        <w:spacing w:line="360" w:lineRule="auto"/>
        <w:ind w:firstLine="480"/>
        <w:rPr>
          <w:color w:val="000000"/>
          <w:sz w:val="24"/>
        </w:rPr>
      </w:pPr>
    </w:p>
    <w:p>
      <w:pPr>
        <w:tabs>
          <w:tab w:val="left" w:pos="7665"/>
        </w:tabs>
        <w:spacing w:line="360" w:lineRule="auto"/>
        <w:ind w:firstLine="480"/>
        <w:rPr>
          <w:color w:val="000000"/>
          <w:sz w:val="24"/>
        </w:rPr>
      </w:pPr>
    </w:p>
    <w:p>
      <w:pPr>
        <w:tabs>
          <w:tab w:val="left" w:pos="7665"/>
        </w:tabs>
        <w:spacing w:line="360" w:lineRule="auto"/>
        <w:ind w:firstLine="480"/>
        <w:rPr>
          <w:color w:val="000000"/>
        </w:rPr>
      </w:pPr>
      <w:r>
        <w:rPr>
          <w:rFonts w:hint="eastAsia"/>
          <w:color w:val="000000"/>
        </w:rPr>
        <w:t>注：1、对采购人、采购代理机构在确定采购需求、编制服务采购文件过程中提供咨询论证，提供的咨询论证意见成为采购文件中规定的供应商资格条件、技术服务商务要求、评标因素和标准、政府采购合同等实质性内容条款的，视同为采购项目提供规范编制。</w:t>
      </w:r>
    </w:p>
    <w:p>
      <w:pPr>
        <w:spacing w:line="360" w:lineRule="auto"/>
        <w:ind w:firstLine="422" w:firstLineChars="200"/>
        <w:jc w:val="left"/>
        <w:rPr>
          <w:rFonts w:ascii="宋体" w:hAnsi="宋体"/>
          <w:b/>
          <w:color w:val="000000"/>
        </w:rPr>
      </w:pPr>
      <w:r>
        <w:rPr>
          <w:rFonts w:hint="eastAsia" w:ascii="宋体" w:hAnsi="宋体"/>
          <w:b/>
          <w:color w:val="000000"/>
        </w:rPr>
        <w:t>2、</w:t>
      </w:r>
      <w:r>
        <w:rPr>
          <w:rFonts w:ascii="宋体" w:hAnsi="宋体"/>
          <w:b/>
          <w:color w:val="000000"/>
        </w:rPr>
        <w:t>第五章资格证明材料中要求提供承诺函的</w:t>
      </w:r>
      <w:r>
        <w:rPr>
          <w:rFonts w:hint="eastAsia" w:ascii="宋体" w:hAnsi="宋体"/>
          <w:b/>
          <w:color w:val="000000"/>
        </w:rPr>
        <w:t>，</w:t>
      </w:r>
      <w:r>
        <w:rPr>
          <w:rFonts w:ascii="宋体" w:hAnsi="宋体"/>
          <w:b/>
          <w:color w:val="000000"/>
        </w:rPr>
        <w:t>本承诺函</w:t>
      </w:r>
      <w:r>
        <w:rPr>
          <w:rFonts w:hint="eastAsia" w:ascii="宋体" w:hAnsi="宋体"/>
          <w:b/>
          <w:color w:val="000000"/>
        </w:rPr>
        <w:t>已</w:t>
      </w:r>
      <w:r>
        <w:rPr>
          <w:rFonts w:ascii="宋体" w:hAnsi="宋体"/>
          <w:b/>
          <w:color w:val="000000"/>
        </w:rPr>
        <w:t>包含相关内容的</w:t>
      </w:r>
      <w:r>
        <w:rPr>
          <w:rFonts w:hint="eastAsia" w:ascii="宋体" w:hAnsi="宋体"/>
          <w:b/>
          <w:color w:val="000000"/>
        </w:rPr>
        <w:t>，按本格式提供一次即可，也可逐条提供承诺函（格式自拟），均为有效。</w:t>
      </w:r>
    </w:p>
    <w:p>
      <w:pPr>
        <w:spacing w:before="120" w:beforeLines="50" w:line="360" w:lineRule="auto"/>
        <w:ind w:firstLine="626"/>
        <w:jc w:val="center"/>
        <w:outlineLvl w:val="2"/>
        <w:rPr>
          <w:b/>
          <w:color w:val="000000"/>
          <w:sz w:val="32"/>
          <w:szCs w:val="32"/>
        </w:rPr>
      </w:pPr>
      <w:r>
        <w:rPr>
          <w:color w:val="000000"/>
        </w:rPr>
        <w:br w:type="page"/>
      </w:r>
      <w:r>
        <w:rPr>
          <w:rFonts w:hint="eastAsia"/>
          <w:b/>
          <w:color w:val="000000"/>
          <w:sz w:val="32"/>
          <w:szCs w:val="32"/>
        </w:rPr>
        <w:t>七、招标文件要求的其他资格性证明材料（格式自拟）</w:t>
      </w:r>
    </w:p>
    <w:p>
      <w:pPr>
        <w:spacing w:before="120" w:beforeLines="50" w:line="360" w:lineRule="auto"/>
        <w:jc w:val="center"/>
        <w:rPr>
          <w:rFonts w:ascii="宋体" w:hAnsi="宋体" w:cs="宋体"/>
          <w:color w:val="000000"/>
          <w:sz w:val="24"/>
        </w:rPr>
      </w:pPr>
      <w:r>
        <w:rPr>
          <w:rFonts w:ascii="宋体" w:hAnsi="宋体" w:cs="宋体"/>
          <w:color w:val="000000"/>
          <w:sz w:val="24"/>
        </w:rPr>
        <w:br w:type="page"/>
      </w:r>
      <w:r>
        <w:rPr>
          <w:rFonts w:hint="eastAsia" w:ascii="宋体" w:hAnsi="宋体" w:cs="宋体"/>
          <w:color w:val="000000"/>
          <w:sz w:val="24"/>
        </w:rPr>
        <w:t>其他投标文件封面格式</w:t>
      </w:r>
    </w:p>
    <w:p>
      <w:pPr>
        <w:spacing w:line="360" w:lineRule="auto"/>
        <w:rPr>
          <w:rFonts w:ascii="宋体" w:hAnsi="宋体" w:cs="宋体"/>
          <w:bCs/>
          <w:color w:val="000000"/>
        </w:rPr>
      </w:pPr>
      <w:r>
        <w:rPr>
          <w:rFonts w:ascii="宋体" w:hAnsi="宋体" w:cs="宋体"/>
          <w:color w:val="000000"/>
          <w:sz w:val="24"/>
          <w:szCs w:val="22"/>
        </w:rPr>
        <mc:AlternateContent>
          <mc:Choice Requires="wps">
            <w:drawing>
              <wp:anchor distT="0" distB="0" distL="114300" distR="114300" simplePos="0" relativeHeight="251661312" behindDoc="0" locked="0" layoutInCell="1" allowOverlap="1">
                <wp:simplePos x="0" y="0"/>
                <wp:positionH relativeFrom="column">
                  <wp:posOffset>4055745</wp:posOffset>
                </wp:positionH>
                <wp:positionV relativeFrom="paragraph">
                  <wp:posOffset>169545</wp:posOffset>
                </wp:positionV>
                <wp:extent cx="1137285" cy="331470"/>
                <wp:effectExtent l="4445" t="4445" r="20320" b="6985"/>
                <wp:wrapNone/>
                <wp:docPr id="3" name="Text Box 2"/>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黑体" w:eastAsia="黑体"/>
                                <w:b/>
                                <w:sz w:val="28"/>
                                <w:szCs w:val="28"/>
                              </w:rPr>
                            </w:pPr>
                            <w:r>
                              <w:rPr>
                                <w:rFonts w:hint="eastAsia" w:ascii="黑体" w:hAnsi="宋体" w:eastAsia="黑体"/>
                                <w:b/>
                                <w:sz w:val="28"/>
                                <w:szCs w:val="28"/>
                              </w:rPr>
                              <w:t>正本或副本</w:t>
                            </w:r>
                          </w:p>
                        </w:txbxContent>
                      </wps:txbx>
                      <wps:bodyPr wrap="square" upright="1">
                        <a:spAutoFit/>
                      </wps:bodyPr>
                    </wps:wsp>
                  </a:graphicData>
                </a:graphic>
              </wp:anchor>
            </w:drawing>
          </mc:Choice>
          <mc:Fallback>
            <w:pict>
              <v:rect id="Text Box 2" o:spid="_x0000_s1026" o:spt="1" style="position:absolute;left:0pt;margin-left:319.35pt;margin-top:13.35pt;height:26.1pt;width:89.55pt;z-index:251661312;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Wj5WdcAAAAJAQAADwAAAAAAAAABACAAAAAiAAAAZHJzL2Rvd25yZXYueG1s&#10;UEsBAhQAFAAAAAgAh07iQNvmdR75AQAAEwQAAA4AAAAAAAAAAQAgAAAAJgEAAGRycy9lMm9Eb2Mu&#10;eG1sUEsFBgAAAAAGAAYAWQEAAJEFA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rect>
            </w:pict>
          </mc:Fallback>
        </mc:AlternateContent>
      </w:r>
    </w:p>
    <w:p>
      <w:pPr>
        <w:spacing w:line="360" w:lineRule="auto"/>
        <w:rPr>
          <w:rFonts w:ascii="宋体" w:hAnsi="宋体" w:cs="宋体"/>
          <w:bCs/>
          <w:color w:val="000000"/>
        </w:rPr>
      </w:pPr>
    </w:p>
    <w:p>
      <w:pPr>
        <w:spacing w:line="360" w:lineRule="auto"/>
        <w:rPr>
          <w:rFonts w:ascii="宋体" w:hAnsi="宋体" w:cs="宋体"/>
          <w:bCs/>
          <w:color w:val="000000"/>
        </w:rPr>
      </w:pPr>
    </w:p>
    <w:p>
      <w:pPr>
        <w:spacing w:line="360" w:lineRule="auto"/>
        <w:jc w:val="right"/>
        <w:rPr>
          <w:rFonts w:ascii="宋体" w:hAnsi="宋体" w:cs="宋体"/>
          <w:color w:val="000000"/>
          <w:sz w:val="24"/>
        </w:rPr>
      </w:pPr>
    </w:p>
    <w:p>
      <w:pPr>
        <w:tabs>
          <w:tab w:val="left" w:pos="7665"/>
        </w:tabs>
        <w:spacing w:line="360" w:lineRule="auto"/>
        <w:jc w:val="center"/>
        <w:outlineLvl w:val="1"/>
        <w:rPr>
          <w:rFonts w:ascii="宋体" w:hAnsi="宋体" w:cs="宋体"/>
          <w:b/>
          <w:color w:val="000000"/>
          <w:sz w:val="48"/>
          <w:szCs w:val="48"/>
        </w:rPr>
      </w:pPr>
      <w:r>
        <w:rPr>
          <w:rFonts w:hint="eastAsia" w:ascii="宋体" w:hAnsi="宋体" w:cs="宋体"/>
          <w:b/>
          <w:color w:val="000000"/>
          <w:sz w:val="48"/>
          <w:szCs w:val="48"/>
        </w:rPr>
        <w:t>其他投标文件</w:t>
      </w:r>
    </w:p>
    <w:p>
      <w:pPr>
        <w:spacing w:line="360" w:lineRule="auto"/>
        <w:jc w:val="center"/>
        <w:rPr>
          <w:rFonts w:ascii="宋体" w:hAnsi="宋体" w:cs="宋体"/>
          <w:color w:val="000000"/>
          <w:spacing w:val="78"/>
          <w:sz w:val="120"/>
          <w:szCs w:val="120"/>
        </w:rPr>
      </w:pPr>
    </w:p>
    <w:p>
      <w:pPr>
        <w:spacing w:line="480" w:lineRule="auto"/>
        <w:ind w:firstLine="2168" w:firstLineChars="675"/>
        <w:rPr>
          <w:rFonts w:ascii="宋体" w:hAnsi="宋体" w:cs="宋体"/>
          <w:b/>
          <w:bCs/>
          <w:color w:val="000000"/>
          <w:sz w:val="32"/>
          <w:szCs w:val="32"/>
        </w:rPr>
      </w:pPr>
    </w:p>
    <w:p>
      <w:pPr>
        <w:spacing w:line="480" w:lineRule="auto"/>
        <w:ind w:firstLine="2168" w:firstLineChars="675"/>
        <w:rPr>
          <w:rFonts w:ascii="宋体" w:hAnsi="宋体" w:cs="宋体"/>
          <w:b/>
          <w:bCs/>
          <w:color w:val="000000"/>
          <w:sz w:val="32"/>
          <w:szCs w:val="32"/>
        </w:rPr>
      </w:pPr>
    </w:p>
    <w:p>
      <w:pPr>
        <w:spacing w:line="480" w:lineRule="auto"/>
        <w:ind w:firstLine="2168" w:firstLineChars="675"/>
        <w:rPr>
          <w:rFonts w:ascii="宋体" w:hAnsi="宋体" w:cs="宋体"/>
          <w:b/>
          <w:bCs/>
          <w:color w:val="000000"/>
          <w:sz w:val="32"/>
          <w:szCs w:val="32"/>
        </w:rPr>
      </w:pPr>
    </w:p>
    <w:p>
      <w:pPr>
        <w:spacing w:line="480" w:lineRule="auto"/>
        <w:ind w:firstLine="2168" w:firstLineChars="675"/>
        <w:rPr>
          <w:rFonts w:ascii="宋体" w:hAnsi="宋体" w:cs="宋体"/>
          <w:b/>
          <w:bCs/>
          <w:color w:val="000000"/>
          <w:sz w:val="32"/>
          <w:szCs w:val="32"/>
          <w:u w:val="single"/>
        </w:rPr>
      </w:pPr>
      <w:r>
        <w:rPr>
          <w:rFonts w:hint="eastAsia" w:ascii="宋体" w:hAnsi="宋体" w:cs="宋体"/>
          <w:b/>
          <w:bCs/>
          <w:color w:val="000000"/>
          <w:sz w:val="32"/>
          <w:szCs w:val="32"/>
        </w:rPr>
        <w:t>项目名称：</w:t>
      </w:r>
      <w:r>
        <w:rPr>
          <w:rFonts w:hint="eastAsia" w:ascii="宋体" w:hAnsi="宋体" w:cs="宋体"/>
          <w:b/>
          <w:bCs/>
          <w:color w:val="000000"/>
          <w:sz w:val="32"/>
          <w:szCs w:val="32"/>
          <w:u w:val="single"/>
        </w:rPr>
        <w:t xml:space="preserve">                    </w:t>
      </w:r>
    </w:p>
    <w:p>
      <w:pPr>
        <w:spacing w:line="480" w:lineRule="auto"/>
        <w:ind w:firstLine="2168" w:firstLineChars="675"/>
        <w:rPr>
          <w:rFonts w:ascii="宋体" w:hAnsi="宋体" w:cs="宋体"/>
          <w:b/>
          <w:bCs/>
          <w:color w:val="000000"/>
          <w:sz w:val="32"/>
          <w:szCs w:val="32"/>
          <w:u w:val="single"/>
        </w:rPr>
      </w:pPr>
      <w:r>
        <w:rPr>
          <w:rFonts w:hint="eastAsia" w:ascii="宋体" w:hAnsi="宋体" w:cs="宋体"/>
          <w:b/>
          <w:bCs/>
          <w:color w:val="000000"/>
          <w:sz w:val="32"/>
          <w:szCs w:val="32"/>
        </w:rPr>
        <w:t>项目编号：</w:t>
      </w:r>
      <w:r>
        <w:rPr>
          <w:rFonts w:hint="eastAsia" w:ascii="宋体" w:hAnsi="宋体" w:cs="宋体"/>
          <w:b/>
          <w:bCs/>
          <w:color w:val="000000"/>
          <w:sz w:val="32"/>
          <w:szCs w:val="32"/>
          <w:u w:val="single"/>
        </w:rPr>
        <w:t xml:space="preserve">                    </w:t>
      </w:r>
    </w:p>
    <w:p>
      <w:pPr>
        <w:spacing w:line="480" w:lineRule="auto"/>
        <w:ind w:firstLine="2168" w:firstLineChars="675"/>
        <w:rPr>
          <w:rFonts w:ascii="宋体" w:hAnsi="宋体" w:cs="宋体"/>
          <w:b/>
          <w:bCs/>
          <w:color w:val="000000"/>
          <w:sz w:val="32"/>
          <w:szCs w:val="32"/>
          <w:u w:val="single"/>
        </w:rPr>
      </w:pPr>
      <w:r>
        <w:rPr>
          <w:rFonts w:hint="eastAsia" w:ascii="宋体" w:hAnsi="宋体" w:cs="宋体"/>
          <w:b/>
          <w:bCs/>
          <w:color w:val="000000"/>
          <w:sz w:val="32"/>
          <w:szCs w:val="32"/>
        </w:rPr>
        <w:t>投标人名称：</w:t>
      </w:r>
      <w:r>
        <w:rPr>
          <w:rFonts w:hint="eastAsia" w:ascii="宋体" w:hAnsi="宋体" w:cs="宋体"/>
          <w:b/>
          <w:bCs/>
          <w:color w:val="000000"/>
          <w:sz w:val="32"/>
          <w:szCs w:val="32"/>
          <w:u w:val="single"/>
        </w:rPr>
        <w:t xml:space="preserve">                    </w:t>
      </w:r>
    </w:p>
    <w:p>
      <w:pPr>
        <w:spacing w:line="360" w:lineRule="auto"/>
        <w:ind w:firstLine="2188" w:firstLineChars="681"/>
        <w:rPr>
          <w:rFonts w:ascii="宋体" w:hAnsi="宋体" w:cs="宋体"/>
          <w:b/>
          <w:bCs/>
          <w:color w:val="000000"/>
          <w:sz w:val="32"/>
          <w:szCs w:val="32"/>
        </w:rPr>
      </w:pPr>
      <w:r>
        <w:rPr>
          <w:rFonts w:hint="eastAsia" w:ascii="宋体" w:hAnsi="宋体" w:cs="宋体"/>
          <w:b/>
          <w:bCs/>
          <w:color w:val="000000"/>
          <w:sz w:val="32"/>
          <w:szCs w:val="32"/>
        </w:rPr>
        <w:t>日期：</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pPr>
        <w:spacing w:before="120" w:beforeLines="50" w:line="360" w:lineRule="auto"/>
        <w:ind w:firstLine="626"/>
        <w:jc w:val="center"/>
        <w:outlineLvl w:val="2"/>
        <w:rPr>
          <w:b/>
          <w:color w:val="000000"/>
          <w:sz w:val="32"/>
          <w:szCs w:val="32"/>
        </w:rPr>
      </w:pPr>
      <w:r>
        <w:rPr>
          <w:rFonts w:hint="eastAsia"/>
          <w:color w:val="000000"/>
          <w:sz w:val="30"/>
          <w:szCs w:val="30"/>
        </w:rPr>
        <w:br w:type="page"/>
      </w:r>
      <w:r>
        <w:rPr>
          <w:rFonts w:hint="eastAsia"/>
          <w:b/>
          <w:color w:val="000000"/>
          <w:sz w:val="32"/>
          <w:szCs w:val="32"/>
        </w:rPr>
        <w:t>一、投 标 函</w:t>
      </w:r>
      <w:bookmarkEnd w:id="193"/>
      <w:bookmarkEnd w:id="194"/>
      <w:bookmarkEnd w:id="195"/>
      <w:bookmarkEnd w:id="196"/>
      <w:bookmarkEnd w:id="197"/>
      <w:bookmarkEnd w:id="198"/>
    </w:p>
    <w:p>
      <w:pPr>
        <w:spacing w:line="360" w:lineRule="auto"/>
        <w:rPr>
          <w:rFonts w:ascii="宋体" w:hAnsi="宋体"/>
          <w:bCs/>
          <w:color w:val="000000"/>
          <w:sz w:val="24"/>
        </w:rPr>
      </w:pPr>
      <w:r>
        <w:rPr>
          <w:rFonts w:hint="eastAsia" w:ascii="宋体" w:hAnsi="宋体"/>
          <w:bCs/>
          <w:color w:val="000000"/>
          <w:sz w:val="24"/>
        </w:rPr>
        <w:t>__________________（采购代理机构名称）：</w:t>
      </w:r>
    </w:p>
    <w:p>
      <w:pPr>
        <w:widowControl/>
        <w:spacing w:line="360" w:lineRule="auto"/>
        <w:ind w:firstLine="480" w:firstLineChars="200"/>
        <w:jc w:val="left"/>
        <w:rPr>
          <w:rFonts w:ascii="宋体" w:hAnsi="宋体"/>
          <w:bCs/>
          <w:color w:val="000000"/>
          <w:sz w:val="24"/>
        </w:rPr>
      </w:pPr>
      <w:r>
        <w:rPr>
          <w:rFonts w:hint="eastAsia" w:ascii="宋体" w:hAnsi="宋体"/>
          <w:bCs/>
          <w:color w:val="000000"/>
          <w:sz w:val="24"/>
        </w:rPr>
        <w:t>我方全面研究了 “</w:t>
      </w:r>
      <w:r>
        <w:rPr>
          <w:rFonts w:hint="eastAsia" w:ascii="宋体" w:hAnsi="宋体"/>
          <w:bCs/>
          <w:color w:val="000000"/>
          <w:sz w:val="24"/>
          <w:u w:val="single"/>
        </w:rPr>
        <w:t xml:space="preserve">                       </w:t>
      </w:r>
      <w:r>
        <w:rPr>
          <w:rFonts w:hint="eastAsia" w:ascii="宋体" w:hAnsi="宋体"/>
          <w:bCs/>
          <w:color w:val="000000"/>
          <w:sz w:val="24"/>
        </w:rPr>
        <w:t xml:space="preserve"> ”项目招标文件（项目编号 ：</w:t>
      </w:r>
      <w:r>
        <w:rPr>
          <w:rFonts w:hint="eastAsia" w:ascii="宋体" w:hAnsi="宋体"/>
          <w:bCs/>
          <w:color w:val="000000"/>
          <w:sz w:val="24"/>
          <w:u w:val="single"/>
        </w:rPr>
        <w:t xml:space="preserve">        </w:t>
      </w:r>
      <w:r>
        <w:rPr>
          <w:rFonts w:hint="eastAsia" w:ascii="宋体" w:hAnsi="宋体"/>
          <w:bCs/>
          <w:color w:val="000000"/>
          <w:sz w:val="24"/>
        </w:rPr>
        <w:t>），决定参加贵单位组织的本项目投标。我方授权</w:t>
      </w:r>
      <w:r>
        <w:rPr>
          <w:rFonts w:hint="eastAsia" w:ascii="宋体" w:hAnsi="宋体"/>
          <w:bCs/>
          <w:color w:val="000000"/>
          <w:sz w:val="24"/>
          <w:u w:val="single"/>
        </w:rPr>
        <w:t xml:space="preserve">        </w:t>
      </w:r>
      <w:r>
        <w:rPr>
          <w:rFonts w:hint="eastAsia" w:ascii="宋体" w:hAnsi="宋体"/>
          <w:bCs/>
          <w:color w:val="000000"/>
          <w:sz w:val="24"/>
        </w:rPr>
        <w:t>（姓名、职务）代表我方</w:t>
      </w:r>
      <w:r>
        <w:rPr>
          <w:rFonts w:hint="eastAsia" w:ascii="宋体" w:hAnsi="宋体"/>
          <w:bCs/>
          <w:color w:val="000000"/>
          <w:sz w:val="24"/>
          <w:u w:val="single"/>
        </w:rPr>
        <w:t xml:space="preserve">            </w:t>
      </w:r>
      <w:r>
        <w:rPr>
          <w:rFonts w:hint="eastAsia" w:ascii="宋体" w:hAnsi="宋体"/>
          <w:bCs/>
          <w:color w:val="000000"/>
          <w:sz w:val="24"/>
        </w:rPr>
        <w:t>（投标单位的名称）全权处理本项目投标的有关事宜。</w:t>
      </w:r>
    </w:p>
    <w:p>
      <w:pPr>
        <w:widowControl/>
        <w:spacing w:line="360" w:lineRule="auto"/>
        <w:ind w:firstLine="480" w:firstLineChars="200"/>
        <w:jc w:val="left"/>
        <w:rPr>
          <w:rFonts w:ascii="宋体" w:hAnsi="宋体" w:cs="宋体"/>
          <w:color w:val="000000"/>
          <w:sz w:val="24"/>
        </w:rPr>
      </w:pPr>
      <w:bookmarkStart w:id="201" w:name="_Toc6125"/>
      <w:bookmarkStart w:id="202" w:name="_Toc31316"/>
      <w:r>
        <w:rPr>
          <w:rFonts w:hint="eastAsia" w:ascii="宋体" w:hAnsi="宋体"/>
          <w:bCs/>
          <w:color w:val="000000"/>
          <w:sz w:val="24"/>
        </w:rPr>
        <w:t>1、我方自愿按照招标文件规定的各项要求向采购人提供所需服务，</w:t>
      </w:r>
      <w:bookmarkEnd w:id="201"/>
      <w:bookmarkEnd w:id="202"/>
      <w:r>
        <w:rPr>
          <w:rFonts w:hint="eastAsia" w:ascii="宋体" w:hAnsi="宋体"/>
          <w:bCs/>
          <w:color w:val="000000"/>
          <w:sz w:val="24"/>
        </w:rPr>
        <w:t>投标价为人民币</w:t>
      </w:r>
      <w:r>
        <w:rPr>
          <w:rFonts w:hint="eastAsia" w:ascii="宋体" w:hAnsi="宋体" w:cs="宋体"/>
          <w:bCs/>
          <w:color w:val="000000"/>
          <w:sz w:val="24"/>
          <w:u w:val="single"/>
        </w:rPr>
        <w:t xml:space="preserve">     </w:t>
      </w:r>
      <w:r>
        <w:rPr>
          <w:rFonts w:hint="eastAsia" w:ascii="宋体" w:hAnsi="宋体" w:cs="宋体"/>
          <w:bCs/>
          <w:color w:val="000000"/>
          <w:sz w:val="24"/>
        </w:rPr>
        <w:t>元（大写：</w:t>
      </w:r>
      <w:r>
        <w:rPr>
          <w:rFonts w:hint="eastAsia" w:ascii="宋体" w:hAnsi="宋体" w:cs="宋体"/>
          <w:bCs/>
          <w:color w:val="000000"/>
          <w:sz w:val="24"/>
          <w:u w:val="single"/>
        </w:rPr>
        <w:t xml:space="preserve">               </w:t>
      </w:r>
      <w:r>
        <w:rPr>
          <w:rFonts w:hint="eastAsia" w:ascii="宋体" w:hAnsi="宋体" w:cs="宋体"/>
          <w:bCs/>
          <w:color w:val="000000"/>
          <w:sz w:val="24"/>
        </w:rPr>
        <w:t>）</w:t>
      </w:r>
      <w:r>
        <w:rPr>
          <w:rFonts w:hint="eastAsia" w:ascii="宋体" w:hAnsi="宋体" w:cs="宋体"/>
          <w:color w:val="000000"/>
          <w:sz w:val="24"/>
        </w:rPr>
        <w:t>。</w:t>
      </w:r>
    </w:p>
    <w:p>
      <w:pPr>
        <w:widowControl/>
        <w:spacing w:line="360" w:lineRule="auto"/>
        <w:ind w:firstLine="480" w:firstLineChars="200"/>
        <w:jc w:val="left"/>
        <w:rPr>
          <w:bCs/>
          <w:color w:val="000000"/>
          <w:sz w:val="24"/>
        </w:rPr>
      </w:pPr>
      <w:r>
        <w:rPr>
          <w:rFonts w:hint="eastAsia" w:ascii="宋体" w:hAnsi="宋体"/>
          <w:bCs/>
          <w:color w:val="000000"/>
          <w:sz w:val="24"/>
        </w:rPr>
        <w:t>2、一旦我方中标，我方将严格履行合同规定的责任和义务</w:t>
      </w:r>
      <w:r>
        <w:rPr>
          <w:rFonts w:hint="eastAsia"/>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3、我方为本项目提交的投标文件</w:t>
      </w:r>
      <w:r>
        <w:rPr>
          <w:rFonts w:hint="eastAsia" w:ascii="宋体" w:hAnsi="宋体"/>
          <w:color w:val="000000"/>
          <w:sz w:val="24"/>
          <w:lang w:val="zh-CN"/>
        </w:rPr>
        <w:t>正本 1份；副本2份</w:t>
      </w:r>
      <w:r>
        <w:rPr>
          <w:rFonts w:hint="eastAsia" w:ascii="宋体" w:hAnsi="宋体"/>
          <w:color w:val="000000"/>
          <w:sz w:val="24"/>
        </w:rPr>
        <w:t>；电子文档（U盘）1份；</w:t>
      </w:r>
      <w:r>
        <w:rPr>
          <w:rFonts w:hint="eastAsia"/>
          <w:bCs/>
          <w:color w:val="000000"/>
          <w:sz w:val="24"/>
        </w:rPr>
        <w:t>用于开标唱标的“开标一览表”1份</w:t>
      </w:r>
      <w:r>
        <w:rPr>
          <w:rFonts w:hint="eastAsia" w:ascii="宋体" w:hAnsi="宋体"/>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4、我方愿意提供贵方可能另外要求的，与投标有关的文件资料，并保证我方已提供和将要提供的文件资料是真实、准确的。</w:t>
      </w:r>
    </w:p>
    <w:p>
      <w:pPr>
        <w:spacing w:line="360" w:lineRule="auto"/>
        <w:ind w:firstLine="480" w:firstLineChars="200"/>
        <w:rPr>
          <w:rFonts w:ascii="宋体" w:hAnsi="宋体"/>
          <w:bCs/>
          <w:color w:val="000000"/>
          <w:sz w:val="24"/>
        </w:rPr>
      </w:pPr>
      <w:r>
        <w:rPr>
          <w:rFonts w:hint="eastAsia" w:ascii="宋体" w:hAnsi="宋体"/>
          <w:bCs/>
          <w:color w:val="000000"/>
          <w:sz w:val="24"/>
        </w:rPr>
        <w:t>5、我方完全理解采购人不一定将合同授予最低报价的投标人的行为。</w:t>
      </w:r>
    </w:p>
    <w:p>
      <w:pPr>
        <w:spacing w:line="360" w:lineRule="auto"/>
        <w:ind w:firstLine="480" w:firstLineChars="200"/>
        <w:rPr>
          <w:rFonts w:ascii="宋体" w:hAnsi="宋体"/>
          <w:bCs/>
          <w:color w:val="000000"/>
          <w:sz w:val="24"/>
        </w:rPr>
      </w:pPr>
      <w:r>
        <w:rPr>
          <w:rFonts w:hint="eastAsia" w:ascii="宋体" w:hAnsi="宋体"/>
          <w:bCs/>
          <w:color w:val="000000"/>
          <w:sz w:val="24"/>
        </w:rPr>
        <w:t>6、我方同意本招标文件依据《四川省政府采购当事人诚信管理办法》（川财采〔2015〕33 号）的相关规定对我方可能存在的失信行为进行的惩戒，并予以承认。</w:t>
      </w:r>
    </w:p>
    <w:p>
      <w:pPr>
        <w:spacing w:line="360" w:lineRule="auto"/>
        <w:ind w:firstLine="480" w:firstLineChars="200"/>
        <w:rPr>
          <w:rFonts w:ascii="宋体" w:hAnsi="宋体"/>
          <w:bCs/>
          <w:color w:val="000000"/>
          <w:sz w:val="24"/>
        </w:rPr>
      </w:pPr>
      <w:r>
        <w:rPr>
          <w:rFonts w:hint="eastAsia" w:ascii="宋体" w:hAnsi="宋体"/>
          <w:bCs/>
          <w:color w:val="000000"/>
          <w:sz w:val="24"/>
        </w:rPr>
        <w:t>7、投标有限期为</w:t>
      </w:r>
      <w:r>
        <w:rPr>
          <w:rFonts w:hint="eastAsia" w:ascii="宋体"/>
          <w:color w:val="000000"/>
          <w:sz w:val="24"/>
        </w:rPr>
        <w:t>投标截止时间届满后90天</w:t>
      </w:r>
      <w:r>
        <w:rPr>
          <w:rFonts w:hint="eastAsia" w:ascii="宋体" w:hAnsi="宋体"/>
          <w:bCs/>
          <w:color w:val="000000"/>
          <w:sz w:val="24"/>
        </w:rPr>
        <w:t>。</w:t>
      </w:r>
    </w:p>
    <w:p>
      <w:pPr>
        <w:spacing w:line="440" w:lineRule="exact"/>
        <w:ind w:firstLine="480" w:firstLineChars="200"/>
        <w:rPr>
          <w:rFonts w:ascii="宋体" w:hAnsi="宋体"/>
          <w:bCs/>
          <w:color w:val="000000"/>
          <w:sz w:val="24"/>
        </w:rPr>
      </w:pPr>
      <w:bookmarkStart w:id="203" w:name="_Toc217446083"/>
      <w:bookmarkStart w:id="204" w:name="_Toc22897"/>
      <w:bookmarkStart w:id="205" w:name="_Toc421005892"/>
      <w:bookmarkStart w:id="206" w:name="_Toc23888"/>
      <w:bookmarkStart w:id="207" w:name="_Toc11304"/>
      <w:r>
        <w:rPr>
          <w:rFonts w:hint="eastAsia" w:ascii="宋体" w:hAnsi="宋体"/>
          <w:bCs/>
          <w:color w:val="000000"/>
          <w:sz w:val="24"/>
        </w:rPr>
        <w:t>8、我方完全接受和满足本项目招标文件中规定的实质性要求，如对招标文件、招标文件的澄清和修改（如有）及与招标文件相关的文件资料和有关附件有异议，已经在投标截止时间届满前依法进行维权救济，不存在对招标文件有异议的同时又参加投标以求侥幸中标或者为实现其他非法目的的行为。</w:t>
      </w:r>
    </w:p>
    <w:p>
      <w:pPr>
        <w:spacing w:line="360" w:lineRule="auto"/>
        <w:jc w:val="left"/>
        <w:rPr>
          <w:rFonts w:ascii="宋体" w:hAnsi="宋体"/>
          <w:color w:val="000000"/>
          <w:sz w:val="24"/>
        </w:rPr>
      </w:pPr>
    </w:p>
    <w:p>
      <w:pPr>
        <w:spacing w:line="360" w:lineRule="auto"/>
        <w:jc w:val="left"/>
        <w:rPr>
          <w:rFonts w:ascii="宋体" w:hAnsi="宋体"/>
          <w:color w:val="000000"/>
          <w:sz w:val="24"/>
        </w:rPr>
      </w:pPr>
    </w:p>
    <w:p>
      <w:pPr>
        <w:spacing w:line="360" w:lineRule="auto"/>
        <w:ind w:firstLine="480" w:firstLineChars="200"/>
        <w:jc w:val="left"/>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法定代表人/单位负责人/授权代表</w:t>
      </w:r>
      <w:r>
        <w:rPr>
          <w:rFonts w:hint="eastAsia" w:ascii="宋体" w:hAnsi="宋体" w:cs="宋体"/>
          <w:color w:val="000000"/>
          <w:sz w:val="24"/>
        </w:rPr>
        <w:t>（签字或加盖个人名章）</w:t>
      </w:r>
      <w:r>
        <w:rPr>
          <w:rFonts w:hint="eastAsia"/>
          <w:color w:val="000000"/>
          <w:sz w:val="24"/>
        </w:rPr>
        <w:t>：</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日      期：</w:t>
      </w:r>
      <w:r>
        <w:rPr>
          <w:rFonts w:hint="eastAsia" w:ascii="宋体" w:hAnsi="宋体"/>
          <w:color w:val="000000"/>
          <w:sz w:val="24"/>
          <w:u w:val="single"/>
        </w:rPr>
        <w:t xml:space="preserve">      </w:t>
      </w:r>
      <w:r>
        <w:rPr>
          <w:rFonts w:hint="eastAsia"/>
          <w:color w:val="000000"/>
          <w:sz w:val="24"/>
        </w:rPr>
        <w:t>年</w:t>
      </w:r>
      <w:r>
        <w:rPr>
          <w:rFonts w:hint="eastAsia" w:ascii="宋体" w:hAnsi="宋体"/>
          <w:color w:val="000000"/>
          <w:sz w:val="24"/>
          <w:u w:val="single"/>
        </w:rPr>
        <w:t xml:space="preserve">   </w:t>
      </w:r>
      <w:r>
        <w:rPr>
          <w:rFonts w:hint="eastAsia"/>
          <w:color w:val="000000"/>
          <w:sz w:val="24"/>
        </w:rPr>
        <w:t>月</w:t>
      </w:r>
      <w:r>
        <w:rPr>
          <w:rFonts w:hint="eastAsia" w:ascii="宋体" w:hAnsi="宋体"/>
          <w:color w:val="000000"/>
          <w:sz w:val="24"/>
          <w:u w:val="single"/>
        </w:rPr>
        <w:t xml:space="preserve">   </w:t>
      </w:r>
      <w:r>
        <w:rPr>
          <w:rFonts w:hint="eastAsia"/>
          <w:color w:val="000000"/>
          <w:sz w:val="24"/>
        </w:rPr>
        <w:t xml:space="preserve">日 </w:t>
      </w:r>
    </w:p>
    <w:p>
      <w:pPr>
        <w:spacing w:before="120" w:beforeLines="50" w:line="360" w:lineRule="auto"/>
        <w:ind w:firstLine="626"/>
        <w:jc w:val="center"/>
        <w:outlineLvl w:val="2"/>
        <w:rPr>
          <w:b/>
          <w:color w:val="000000"/>
          <w:sz w:val="32"/>
          <w:szCs w:val="32"/>
        </w:rPr>
      </w:pPr>
      <w:r>
        <w:rPr>
          <w:rFonts w:hint="eastAsia"/>
          <w:color w:val="000000"/>
          <w:sz w:val="30"/>
          <w:szCs w:val="30"/>
        </w:rPr>
        <w:br w:type="page"/>
      </w:r>
      <w:bookmarkEnd w:id="203"/>
      <w:bookmarkEnd w:id="204"/>
      <w:bookmarkEnd w:id="205"/>
      <w:bookmarkEnd w:id="206"/>
      <w:bookmarkEnd w:id="207"/>
      <w:bookmarkStart w:id="208" w:name="_Toc8776"/>
      <w:bookmarkStart w:id="209" w:name="_Toc24223"/>
      <w:bookmarkStart w:id="210" w:name="_Toc421005896"/>
      <w:bookmarkStart w:id="211" w:name="_Toc25760"/>
      <w:bookmarkStart w:id="212" w:name="_Toc217446088"/>
      <w:r>
        <w:rPr>
          <w:rFonts w:hint="eastAsia"/>
          <w:b/>
          <w:color w:val="000000"/>
          <w:sz w:val="32"/>
          <w:szCs w:val="32"/>
        </w:rPr>
        <w:t>二、开标一览表</w:t>
      </w:r>
    </w:p>
    <w:p>
      <w:pPr>
        <w:pStyle w:val="21"/>
        <w:rPr>
          <w:color w:val="000000"/>
        </w:rPr>
      </w:pPr>
    </w:p>
    <w:p>
      <w:pPr>
        <w:spacing w:line="360" w:lineRule="atLeast"/>
        <w:rPr>
          <w:rFonts w:ascii="宋体" w:hAnsi="宋体" w:cs="宋体"/>
          <w:color w:val="000000"/>
        </w:rPr>
      </w:pPr>
    </w:p>
    <w:tbl>
      <w:tblPr>
        <w:tblStyle w:val="47"/>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0"/>
        <w:gridCol w:w="801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1310" w:type="dxa"/>
            <w:vAlign w:val="center"/>
          </w:tcPr>
          <w:p>
            <w:pPr>
              <w:topLinePunct/>
              <w:spacing w:before="120" w:beforeLines="50" w:after="120" w:afterLines="50"/>
              <w:jc w:val="center"/>
              <w:rPr>
                <w:rFonts w:ascii="宋体" w:hAnsi="宋体" w:cs="宋体"/>
                <w:caps/>
                <w:color w:val="000000"/>
              </w:rPr>
            </w:pPr>
            <w:r>
              <w:rPr>
                <w:rFonts w:hint="eastAsia" w:ascii="宋体" w:hAnsi="宋体" w:cs="宋体"/>
                <w:color w:val="000000"/>
              </w:rPr>
              <w:t>项目编号</w:t>
            </w:r>
          </w:p>
        </w:tc>
        <w:tc>
          <w:tcPr>
            <w:tcW w:w="8019" w:type="dxa"/>
          </w:tcPr>
          <w:p>
            <w:pPr>
              <w:topLinePunct/>
              <w:spacing w:line="580" w:lineRule="exact"/>
              <w:jc w:val="center"/>
              <w:rPr>
                <w:rFonts w:ascii="宋体" w:hAnsi="宋体" w:cs="宋体"/>
                <w:caps/>
                <w:color w:val="00000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310" w:type="dxa"/>
            <w:vAlign w:val="center"/>
          </w:tcPr>
          <w:p>
            <w:pPr>
              <w:topLinePunct/>
              <w:spacing w:before="120" w:beforeLines="50" w:after="120" w:afterLines="50"/>
              <w:jc w:val="center"/>
              <w:rPr>
                <w:rFonts w:ascii="宋体" w:hAnsi="宋体" w:cs="宋体"/>
                <w:bCs/>
                <w:color w:val="000000"/>
              </w:rPr>
            </w:pPr>
            <w:r>
              <w:rPr>
                <w:rFonts w:hint="eastAsia" w:ascii="宋体" w:hAnsi="宋体" w:cs="宋体"/>
                <w:bCs/>
                <w:color w:val="000000"/>
              </w:rPr>
              <w:t>项目名称</w:t>
            </w:r>
          </w:p>
        </w:tc>
        <w:tc>
          <w:tcPr>
            <w:tcW w:w="8019" w:type="dxa"/>
          </w:tcPr>
          <w:p>
            <w:pPr>
              <w:topLinePunct/>
              <w:spacing w:line="580" w:lineRule="exact"/>
              <w:jc w:val="center"/>
              <w:rPr>
                <w:rFonts w:ascii="宋体" w:hAnsi="宋体" w:cs="宋体"/>
                <w:b/>
                <w:bCs/>
                <w:color w:val="00000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310" w:type="dxa"/>
            <w:vAlign w:val="center"/>
          </w:tcPr>
          <w:p>
            <w:pPr>
              <w:topLinePunct/>
              <w:spacing w:before="120" w:beforeLines="50" w:after="120" w:afterLines="50"/>
              <w:jc w:val="center"/>
              <w:rPr>
                <w:rFonts w:ascii="宋体" w:hAnsi="宋体" w:cs="宋体"/>
                <w:b/>
                <w:color w:val="000000"/>
              </w:rPr>
            </w:pPr>
            <w:r>
              <w:rPr>
                <w:rFonts w:hint="eastAsia" w:ascii="宋体" w:hAnsi="宋体" w:cs="宋体"/>
                <w:color w:val="000000"/>
              </w:rPr>
              <w:t>投标人全称</w:t>
            </w:r>
          </w:p>
        </w:tc>
        <w:tc>
          <w:tcPr>
            <w:tcW w:w="8019" w:type="dxa"/>
          </w:tcPr>
          <w:p>
            <w:pPr>
              <w:topLinePunct/>
              <w:spacing w:line="580" w:lineRule="exact"/>
              <w:jc w:val="center"/>
              <w:rPr>
                <w:rFonts w:ascii="宋体" w:hAnsi="宋体" w:cs="宋体"/>
                <w:b/>
                <w:color w:val="00000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15" w:hRule="atLeast"/>
          <w:jc w:val="center"/>
        </w:trPr>
        <w:tc>
          <w:tcPr>
            <w:tcW w:w="1310" w:type="dxa"/>
            <w:vAlign w:val="center"/>
          </w:tcPr>
          <w:p>
            <w:pPr>
              <w:topLinePunct/>
              <w:spacing w:before="120" w:beforeLines="50" w:after="120" w:afterLines="50"/>
              <w:jc w:val="center"/>
              <w:rPr>
                <w:rFonts w:ascii="宋体" w:hAnsi="宋体" w:cs="宋体"/>
                <w:color w:val="000000"/>
              </w:rPr>
            </w:pPr>
            <w:r>
              <w:rPr>
                <w:rFonts w:hint="eastAsia" w:ascii="宋体" w:hAnsi="宋体" w:cs="宋体"/>
                <w:color w:val="000000"/>
              </w:rPr>
              <w:t>投标报价</w:t>
            </w:r>
          </w:p>
        </w:tc>
        <w:tc>
          <w:tcPr>
            <w:tcW w:w="8019" w:type="dxa"/>
            <w:vAlign w:val="center"/>
          </w:tcPr>
          <w:p>
            <w:pPr>
              <w:topLinePunct/>
              <w:spacing w:before="120" w:beforeLines="50" w:after="120" w:afterLines="50"/>
              <w:jc w:val="center"/>
              <w:rPr>
                <w:rFonts w:ascii="宋体" w:hAnsi="宋体" w:cs="宋体"/>
                <w:color w:val="000000"/>
              </w:rPr>
            </w:pPr>
            <w:r>
              <w:rPr>
                <w:rFonts w:hint="eastAsia" w:ascii="宋体" w:hAnsi="宋体" w:cs="宋体"/>
                <w:color w:val="000000"/>
              </w:rPr>
              <w:t>人民币</w:t>
            </w:r>
            <w:r>
              <w:rPr>
                <w:rFonts w:hint="eastAsia" w:ascii="宋体" w:hAnsi="宋体" w:cs="宋体"/>
                <w:color w:val="000000"/>
                <w:u w:val="single"/>
              </w:rPr>
              <w:t xml:space="preserve">               </w:t>
            </w:r>
            <w:r>
              <w:rPr>
                <w:rFonts w:hint="eastAsia" w:ascii="宋体" w:hAnsi="宋体" w:cs="宋体"/>
                <w:color w:val="000000"/>
              </w:rPr>
              <w:t>元（大写：</w:t>
            </w:r>
            <w:r>
              <w:rPr>
                <w:rFonts w:hint="eastAsia" w:ascii="宋体" w:hAnsi="宋体" w:cs="宋体"/>
                <w:color w:val="000000"/>
                <w:u w:val="single"/>
              </w:rPr>
              <w:t xml:space="preserve">               </w:t>
            </w:r>
            <w:r>
              <w:rPr>
                <w:rFonts w:hint="eastAsia" w:ascii="宋体" w:hAnsi="宋体" w:cs="宋体"/>
                <w:color w:val="000000"/>
              </w:rPr>
              <w:t>）</w:t>
            </w:r>
          </w:p>
        </w:tc>
      </w:tr>
    </w:tbl>
    <w:p>
      <w:pPr>
        <w:rPr>
          <w:color w:val="000000"/>
        </w:rPr>
      </w:pPr>
    </w:p>
    <w:p>
      <w:pPr>
        <w:pStyle w:val="21"/>
        <w:spacing w:after="0" w:line="360" w:lineRule="auto"/>
        <w:ind w:firstLine="420" w:firstLineChars="200"/>
        <w:rPr>
          <w:rFonts w:ascii="宋体" w:hAnsi="宋体" w:cs="宋体"/>
          <w:color w:val="000000"/>
        </w:rPr>
      </w:pPr>
      <w:r>
        <w:rPr>
          <w:rFonts w:hint="eastAsia" w:ascii="宋体" w:hAnsi="宋体" w:cs="宋体"/>
          <w:color w:val="000000"/>
        </w:rPr>
        <w:t>注：①报价应是最终用户验收合格后的总价，包含完成本项目所涉及人员劳务、差旅、调研、利润、保险、风险、税金、招标代理服务费等的一切费用。</w:t>
      </w:r>
    </w:p>
    <w:p>
      <w:pPr>
        <w:pStyle w:val="21"/>
        <w:spacing w:after="0" w:line="360" w:lineRule="auto"/>
        <w:ind w:firstLine="420" w:firstLineChars="200"/>
        <w:rPr>
          <w:rFonts w:ascii="宋体" w:hAnsi="宋体" w:cs="宋体"/>
          <w:color w:val="000000"/>
        </w:rPr>
      </w:pPr>
      <w:r>
        <w:rPr>
          <w:rFonts w:hint="eastAsia" w:ascii="宋体" w:hAnsi="宋体" w:cs="宋体"/>
          <w:color w:val="000000"/>
        </w:rPr>
        <w:t>②“开标一览表”为多页的，每页均需由法定代表人或授权代表签字并盖投标人印章。</w:t>
      </w:r>
    </w:p>
    <w:p>
      <w:pPr>
        <w:pStyle w:val="21"/>
        <w:spacing w:after="0" w:line="360" w:lineRule="auto"/>
        <w:ind w:firstLine="422" w:firstLineChars="200"/>
        <w:rPr>
          <w:rFonts w:ascii="宋体" w:hAnsi="宋体" w:cs="宋体"/>
          <w:b/>
          <w:color w:val="000000"/>
        </w:rPr>
      </w:pPr>
      <w:r>
        <w:rPr>
          <w:rFonts w:hint="eastAsia" w:ascii="宋体" w:hAnsi="宋体" w:cs="宋体"/>
          <w:b/>
          <w:color w:val="000000"/>
        </w:rPr>
        <w:t>③“</w:t>
      </w:r>
      <w:r>
        <w:rPr>
          <w:rFonts w:ascii="宋体" w:hAnsi="宋体" w:cs="宋体"/>
          <w:b/>
          <w:color w:val="000000"/>
        </w:rPr>
        <w:t xml:space="preserve"> </w:t>
      </w:r>
      <w:r>
        <w:rPr>
          <w:rFonts w:hint="eastAsia" w:ascii="宋体" w:hAnsi="宋体" w:cs="宋体"/>
          <w:b/>
          <w:color w:val="000000"/>
        </w:rPr>
        <w:t>开标一览表</w:t>
      </w:r>
      <w:r>
        <w:rPr>
          <w:rFonts w:ascii="宋体" w:hAnsi="宋体" w:cs="宋体"/>
          <w:b/>
          <w:color w:val="000000"/>
        </w:rPr>
        <w:t xml:space="preserve"> </w:t>
      </w:r>
      <w:r>
        <w:rPr>
          <w:rFonts w:hint="eastAsia" w:ascii="宋体" w:hAnsi="宋体" w:cs="宋体"/>
          <w:b/>
          <w:color w:val="000000"/>
        </w:rPr>
        <w:t>”</w:t>
      </w:r>
      <w:r>
        <w:rPr>
          <w:rFonts w:ascii="宋体" w:hAnsi="宋体" w:cs="宋体"/>
          <w:b/>
          <w:color w:val="000000"/>
        </w:rPr>
        <w:t xml:space="preserve"> </w:t>
      </w:r>
      <w:r>
        <w:rPr>
          <w:rFonts w:hint="eastAsia" w:ascii="宋体" w:hAnsi="宋体" w:cs="宋体"/>
          <w:b/>
          <w:color w:val="000000"/>
        </w:rPr>
        <w:t>除了单独密封递交外，投标文件（</w:t>
      </w:r>
      <w:r>
        <w:rPr>
          <w:rFonts w:ascii="宋体" w:hAnsi="宋体" w:cs="宋体"/>
          <w:b/>
          <w:color w:val="000000"/>
        </w:rPr>
        <w:t>正副本</w:t>
      </w:r>
      <w:r>
        <w:rPr>
          <w:rFonts w:hint="eastAsia" w:ascii="宋体" w:hAnsi="宋体" w:cs="宋体"/>
          <w:b/>
          <w:color w:val="000000"/>
        </w:rPr>
        <w:t>）</w:t>
      </w:r>
      <w:r>
        <w:rPr>
          <w:rFonts w:ascii="宋体" w:hAnsi="宋体" w:cs="宋体"/>
          <w:b/>
          <w:color w:val="000000"/>
        </w:rPr>
        <w:t>也应当提供，如有遗漏，将视为无效投标。</w:t>
      </w:r>
    </w:p>
    <w:p>
      <w:pPr>
        <w:rPr>
          <w:color w:val="000000"/>
          <w:sz w:val="24"/>
        </w:rPr>
      </w:pPr>
    </w:p>
    <w:p>
      <w:pPr>
        <w:pStyle w:val="21"/>
        <w:spacing w:after="0" w:line="360" w:lineRule="auto"/>
        <w:ind w:firstLine="420" w:firstLineChars="200"/>
        <w:rPr>
          <w:rFonts w:ascii="宋体" w:hAnsi="宋体" w:cs="宋体"/>
          <w:color w:val="000000"/>
        </w:rPr>
      </w:pPr>
    </w:p>
    <w:p>
      <w:pPr>
        <w:pStyle w:val="21"/>
        <w:spacing w:after="0" w:line="360" w:lineRule="auto"/>
        <w:ind w:firstLine="420" w:firstLineChars="200"/>
        <w:rPr>
          <w:rFonts w:ascii="宋体" w:hAnsi="宋体" w:cs="宋体"/>
          <w:color w:val="000000"/>
        </w:rPr>
      </w:pPr>
    </w:p>
    <w:p>
      <w:pPr>
        <w:spacing w:line="360" w:lineRule="auto"/>
        <w:jc w:val="left"/>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rPr>
          <w:color w:val="000000"/>
          <w:sz w:val="24"/>
        </w:rPr>
      </w:pPr>
      <w:r>
        <w:rPr>
          <w:rFonts w:hint="eastAsia"/>
          <w:color w:val="000000"/>
          <w:sz w:val="24"/>
        </w:rPr>
        <w:t>法定代表人/单位负责人/授权代表</w:t>
      </w:r>
      <w:r>
        <w:rPr>
          <w:rFonts w:hint="eastAsia" w:ascii="宋体" w:hAnsi="宋体" w:cs="宋体"/>
          <w:color w:val="000000"/>
          <w:sz w:val="24"/>
        </w:rPr>
        <w:t>（签字或加盖个人名章）</w:t>
      </w:r>
      <w:r>
        <w:rPr>
          <w:rFonts w:hint="eastAsia"/>
          <w:color w:val="000000"/>
          <w:sz w:val="24"/>
        </w:rPr>
        <w:t>：</w:t>
      </w:r>
      <w:r>
        <w:rPr>
          <w:rFonts w:hint="eastAsia" w:ascii="宋体" w:hAnsi="宋体"/>
          <w:color w:val="000000"/>
          <w:sz w:val="24"/>
          <w:u w:val="single"/>
        </w:rPr>
        <w:t xml:space="preserve">           </w:t>
      </w:r>
    </w:p>
    <w:p>
      <w:pPr>
        <w:spacing w:line="360" w:lineRule="auto"/>
        <w:rPr>
          <w:color w:val="000000"/>
          <w:sz w:val="24"/>
        </w:rPr>
      </w:pPr>
      <w:r>
        <w:rPr>
          <w:rFonts w:hint="eastAsia"/>
          <w:color w:val="000000"/>
          <w:sz w:val="24"/>
        </w:rPr>
        <w:t>日      期：</w:t>
      </w:r>
      <w:r>
        <w:rPr>
          <w:rFonts w:hint="eastAsia" w:ascii="宋体" w:hAnsi="宋体"/>
          <w:color w:val="000000"/>
          <w:sz w:val="24"/>
          <w:u w:val="single"/>
        </w:rPr>
        <w:t xml:space="preserve">      </w:t>
      </w:r>
      <w:r>
        <w:rPr>
          <w:rFonts w:hint="eastAsia"/>
          <w:color w:val="000000"/>
          <w:sz w:val="24"/>
        </w:rPr>
        <w:t>年</w:t>
      </w:r>
      <w:r>
        <w:rPr>
          <w:rFonts w:hint="eastAsia" w:ascii="宋体" w:hAnsi="宋体"/>
          <w:color w:val="000000"/>
          <w:sz w:val="24"/>
          <w:u w:val="single"/>
        </w:rPr>
        <w:t xml:space="preserve">    </w:t>
      </w:r>
      <w:r>
        <w:rPr>
          <w:rFonts w:hint="eastAsia"/>
          <w:color w:val="000000"/>
          <w:sz w:val="24"/>
        </w:rPr>
        <w:t>月</w:t>
      </w:r>
      <w:r>
        <w:rPr>
          <w:rFonts w:hint="eastAsia" w:ascii="宋体" w:hAnsi="宋体"/>
          <w:color w:val="000000"/>
          <w:sz w:val="24"/>
          <w:u w:val="single"/>
        </w:rPr>
        <w:t xml:space="preserve">    </w:t>
      </w:r>
      <w:r>
        <w:rPr>
          <w:rFonts w:hint="eastAsia"/>
          <w:color w:val="000000"/>
          <w:sz w:val="24"/>
        </w:rPr>
        <w:t xml:space="preserve">日 </w:t>
      </w:r>
    </w:p>
    <w:p>
      <w:pPr>
        <w:pStyle w:val="21"/>
        <w:rPr>
          <w:color w:val="000000"/>
        </w:rPr>
        <w:sectPr>
          <w:footerReference r:id="rId5" w:type="default"/>
          <w:pgSz w:w="11907" w:h="16840"/>
          <w:pgMar w:top="1472" w:right="1080" w:bottom="1440" w:left="1080" w:header="426" w:footer="752" w:gutter="0"/>
          <w:pgNumType w:fmt="decimal"/>
          <w:cols w:space="720" w:num="1"/>
          <w:docGrid w:linePitch="312" w:charSpace="0"/>
        </w:sectPr>
      </w:pPr>
    </w:p>
    <w:p>
      <w:pPr>
        <w:spacing w:before="159" w:beforeLines="50" w:line="360" w:lineRule="auto"/>
        <w:ind w:firstLine="643" w:firstLineChars="200"/>
        <w:jc w:val="center"/>
        <w:outlineLvl w:val="3"/>
        <w:rPr>
          <w:b/>
          <w:color w:val="000000"/>
          <w:sz w:val="32"/>
          <w:szCs w:val="32"/>
        </w:rPr>
      </w:pPr>
      <w:r>
        <w:rPr>
          <w:rFonts w:hint="eastAsia"/>
          <w:b/>
          <w:color w:val="000000"/>
          <w:sz w:val="32"/>
          <w:szCs w:val="32"/>
        </w:rPr>
        <w:t>2-1、分项报价明细表</w:t>
      </w:r>
    </w:p>
    <w:p>
      <w:pPr>
        <w:pStyle w:val="21"/>
        <w:ind w:left="19" w:leftChars="9" w:firstLine="422" w:firstLineChars="200"/>
        <w:rPr>
          <w:b/>
          <w:color w:val="000000"/>
        </w:rPr>
      </w:pPr>
      <w:r>
        <w:rPr>
          <w:rFonts w:hint="eastAsia"/>
          <w:b/>
          <w:color w:val="000000"/>
        </w:rPr>
        <w:t>项目编号：</w:t>
      </w:r>
    </w:p>
    <w:p>
      <w:pPr>
        <w:pStyle w:val="21"/>
        <w:ind w:left="19" w:leftChars="9" w:firstLine="422" w:firstLineChars="200"/>
        <w:rPr>
          <w:b/>
          <w:color w:val="000000"/>
        </w:rPr>
      </w:pPr>
      <w:r>
        <w:rPr>
          <w:rFonts w:hint="eastAsia"/>
          <w:b/>
          <w:color w:val="000000"/>
        </w:rPr>
        <w:t>项目名称：</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3143"/>
        <w:gridCol w:w="3198"/>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dxa"/>
            <w:vAlign w:val="center"/>
          </w:tcPr>
          <w:p>
            <w:pPr>
              <w:widowControl/>
              <w:spacing w:line="360" w:lineRule="atLeast"/>
              <w:jc w:val="center"/>
              <w:rPr>
                <w:rFonts w:ascii="宋体" w:hAnsi="宋体" w:cs="宋体"/>
                <w:b/>
                <w:color w:val="000000"/>
              </w:rPr>
            </w:pPr>
            <w:r>
              <w:rPr>
                <w:rFonts w:hint="eastAsia" w:ascii="宋体" w:hAnsi="宋体" w:cs="宋体"/>
                <w:b/>
                <w:color w:val="000000"/>
              </w:rPr>
              <w:t>序号</w:t>
            </w:r>
          </w:p>
        </w:tc>
        <w:tc>
          <w:tcPr>
            <w:tcW w:w="3143" w:type="dxa"/>
            <w:vAlign w:val="center"/>
          </w:tcPr>
          <w:p>
            <w:pPr>
              <w:widowControl/>
              <w:spacing w:line="360" w:lineRule="atLeast"/>
              <w:jc w:val="center"/>
              <w:rPr>
                <w:rFonts w:ascii="宋体" w:hAnsi="宋体" w:cs="宋体"/>
                <w:b/>
                <w:color w:val="000000"/>
              </w:rPr>
            </w:pPr>
            <w:r>
              <w:rPr>
                <w:rFonts w:hint="eastAsia" w:ascii="宋体" w:hAnsi="宋体" w:cs="宋体"/>
                <w:b/>
                <w:color w:val="000000"/>
              </w:rPr>
              <w:t>服务内容</w:t>
            </w:r>
          </w:p>
        </w:tc>
        <w:tc>
          <w:tcPr>
            <w:tcW w:w="3198" w:type="dxa"/>
            <w:vAlign w:val="center"/>
          </w:tcPr>
          <w:p>
            <w:pPr>
              <w:widowControl/>
              <w:spacing w:line="360" w:lineRule="atLeast"/>
              <w:jc w:val="center"/>
              <w:rPr>
                <w:rFonts w:ascii="宋体" w:hAnsi="宋体" w:cs="宋体"/>
                <w:b/>
                <w:color w:val="000000"/>
              </w:rPr>
            </w:pPr>
            <w:r>
              <w:rPr>
                <w:rFonts w:hint="eastAsia" w:ascii="宋体" w:hAnsi="宋体" w:cs="宋体"/>
                <w:b/>
                <w:color w:val="000000"/>
              </w:rPr>
              <w:t>报价（元）</w:t>
            </w:r>
          </w:p>
        </w:tc>
        <w:tc>
          <w:tcPr>
            <w:tcW w:w="1310" w:type="dxa"/>
            <w:vAlign w:val="center"/>
          </w:tcPr>
          <w:p>
            <w:pPr>
              <w:widowControl/>
              <w:spacing w:line="360" w:lineRule="atLeast"/>
              <w:jc w:val="center"/>
              <w:rPr>
                <w:rFonts w:ascii="宋体" w:hAnsi="宋体" w:cs="宋体"/>
                <w:b/>
                <w:color w:val="000000"/>
              </w:rPr>
            </w:pPr>
            <w:r>
              <w:rPr>
                <w:rFonts w:hint="eastAsia" w:ascii="宋体" w:hAnsi="宋体" w:cs="宋体"/>
                <w:b/>
                <w:color w:val="000000"/>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dxa"/>
            <w:vAlign w:val="center"/>
          </w:tcPr>
          <w:p>
            <w:pPr>
              <w:widowControl/>
              <w:spacing w:line="360" w:lineRule="atLeast"/>
              <w:jc w:val="center"/>
              <w:rPr>
                <w:rFonts w:ascii="宋体" w:hAnsi="宋体" w:cs="宋体"/>
                <w:b/>
                <w:color w:val="000000"/>
              </w:rPr>
            </w:pPr>
            <w:r>
              <w:rPr>
                <w:rFonts w:hint="eastAsia" w:ascii="宋体" w:hAnsi="宋体" w:cs="宋体"/>
                <w:b/>
                <w:color w:val="000000"/>
              </w:rPr>
              <w:t>1</w:t>
            </w:r>
          </w:p>
        </w:tc>
        <w:tc>
          <w:tcPr>
            <w:tcW w:w="3143" w:type="dxa"/>
            <w:vAlign w:val="center"/>
          </w:tcPr>
          <w:p>
            <w:pPr>
              <w:widowControl/>
              <w:spacing w:line="360" w:lineRule="atLeast"/>
              <w:jc w:val="center"/>
              <w:rPr>
                <w:rFonts w:ascii="宋体" w:hAnsi="宋体" w:cs="宋体"/>
                <w:b/>
                <w:color w:val="000000"/>
              </w:rPr>
            </w:pPr>
          </w:p>
        </w:tc>
        <w:tc>
          <w:tcPr>
            <w:tcW w:w="3198" w:type="dxa"/>
            <w:vAlign w:val="center"/>
          </w:tcPr>
          <w:p>
            <w:pPr>
              <w:widowControl/>
              <w:spacing w:line="360" w:lineRule="atLeast"/>
              <w:jc w:val="center"/>
              <w:rPr>
                <w:rFonts w:ascii="宋体" w:hAnsi="宋体" w:cs="宋体"/>
                <w:b/>
                <w:color w:val="000000"/>
              </w:rPr>
            </w:pPr>
          </w:p>
        </w:tc>
        <w:tc>
          <w:tcPr>
            <w:tcW w:w="1310" w:type="dxa"/>
            <w:vAlign w:val="center"/>
          </w:tcPr>
          <w:p>
            <w:pPr>
              <w:widowControl/>
              <w:spacing w:line="360" w:lineRule="atLeast"/>
              <w:jc w:val="center"/>
              <w:rPr>
                <w:rFonts w:ascii="宋体" w:hAnsi="宋体" w:cs="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dxa"/>
            <w:vAlign w:val="center"/>
          </w:tcPr>
          <w:p>
            <w:pPr>
              <w:widowControl/>
              <w:spacing w:line="360" w:lineRule="atLeast"/>
              <w:jc w:val="center"/>
              <w:rPr>
                <w:rFonts w:ascii="宋体" w:hAnsi="宋体" w:cs="宋体"/>
                <w:b/>
                <w:color w:val="000000"/>
              </w:rPr>
            </w:pPr>
            <w:r>
              <w:rPr>
                <w:rFonts w:hint="eastAsia" w:ascii="宋体" w:hAnsi="宋体" w:cs="宋体"/>
                <w:b/>
                <w:color w:val="000000"/>
              </w:rPr>
              <w:t>2</w:t>
            </w:r>
          </w:p>
        </w:tc>
        <w:tc>
          <w:tcPr>
            <w:tcW w:w="3143" w:type="dxa"/>
            <w:vAlign w:val="center"/>
          </w:tcPr>
          <w:p>
            <w:pPr>
              <w:widowControl/>
              <w:spacing w:line="360" w:lineRule="atLeast"/>
              <w:jc w:val="center"/>
              <w:rPr>
                <w:rFonts w:ascii="宋体" w:hAnsi="宋体" w:cs="宋体"/>
                <w:b/>
                <w:color w:val="000000"/>
              </w:rPr>
            </w:pPr>
          </w:p>
        </w:tc>
        <w:tc>
          <w:tcPr>
            <w:tcW w:w="3198" w:type="dxa"/>
            <w:vAlign w:val="center"/>
          </w:tcPr>
          <w:p>
            <w:pPr>
              <w:widowControl/>
              <w:spacing w:line="360" w:lineRule="atLeast"/>
              <w:jc w:val="center"/>
              <w:rPr>
                <w:rFonts w:ascii="宋体" w:hAnsi="宋体" w:cs="宋体"/>
                <w:b/>
                <w:color w:val="000000"/>
              </w:rPr>
            </w:pPr>
          </w:p>
        </w:tc>
        <w:tc>
          <w:tcPr>
            <w:tcW w:w="1310" w:type="dxa"/>
            <w:vAlign w:val="center"/>
          </w:tcPr>
          <w:p>
            <w:pPr>
              <w:widowControl/>
              <w:spacing w:line="360" w:lineRule="atLeast"/>
              <w:jc w:val="center"/>
              <w:rPr>
                <w:rFonts w:ascii="宋体" w:hAnsi="宋体" w:cs="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dxa"/>
            <w:vAlign w:val="center"/>
          </w:tcPr>
          <w:p>
            <w:pPr>
              <w:widowControl/>
              <w:spacing w:line="360" w:lineRule="atLeast"/>
              <w:jc w:val="center"/>
              <w:rPr>
                <w:rFonts w:ascii="宋体" w:hAnsi="宋体" w:cs="宋体"/>
                <w:b/>
                <w:color w:val="000000"/>
              </w:rPr>
            </w:pPr>
            <w:r>
              <w:rPr>
                <w:rFonts w:hint="eastAsia" w:ascii="宋体" w:hAnsi="宋体" w:cs="宋体"/>
                <w:b/>
                <w:color w:val="000000"/>
              </w:rPr>
              <w:t>3</w:t>
            </w:r>
          </w:p>
        </w:tc>
        <w:tc>
          <w:tcPr>
            <w:tcW w:w="3143" w:type="dxa"/>
            <w:vAlign w:val="center"/>
          </w:tcPr>
          <w:p>
            <w:pPr>
              <w:widowControl/>
              <w:spacing w:line="360" w:lineRule="atLeast"/>
              <w:jc w:val="center"/>
              <w:rPr>
                <w:rFonts w:ascii="宋体" w:hAnsi="宋体" w:cs="宋体"/>
                <w:b/>
                <w:color w:val="000000"/>
              </w:rPr>
            </w:pPr>
          </w:p>
        </w:tc>
        <w:tc>
          <w:tcPr>
            <w:tcW w:w="3198" w:type="dxa"/>
            <w:vAlign w:val="center"/>
          </w:tcPr>
          <w:p>
            <w:pPr>
              <w:widowControl/>
              <w:spacing w:line="360" w:lineRule="atLeast"/>
              <w:jc w:val="center"/>
              <w:rPr>
                <w:rFonts w:ascii="宋体" w:hAnsi="宋体" w:cs="宋体"/>
                <w:b/>
                <w:color w:val="000000"/>
              </w:rPr>
            </w:pPr>
          </w:p>
        </w:tc>
        <w:tc>
          <w:tcPr>
            <w:tcW w:w="1310" w:type="dxa"/>
            <w:vAlign w:val="center"/>
          </w:tcPr>
          <w:p>
            <w:pPr>
              <w:widowControl/>
              <w:spacing w:line="360" w:lineRule="atLeast"/>
              <w:jc w:val="center"/>
              <w:rPr>
                <w:rFonts w:ascii="宋体" w:hAnsi="宋体" w:cs="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dxa"/>
            <w:vAlign w:val="center"/>
          </w:tcPr>
          <w:p>
            <w:pPr>
              <w:widowControl/>
              <w:spacing w:line="360" w:lineRule="atLeast"/>
              <w:jc w:val="center"/>
              <w:rPr>
                <w:rFonts w:ascii="宋体" w:hAnsi="宋体" w:cs="宋体"/>
                <w:b/>
                <w:color w:val="000000"/>
              </w:rPr>
            </w:pPr>
            <w:r>
              <w:rPr>
                <w:rFonts w:hint="eastAsia" w:ascii="宋体" w:hAnsi="宋体" w:cs="宋体"/>
                <w:b/>
                <w:color w:val="000000"/>
              </w:rPr>
              <w:t>……</w:t>
            </w:r>
          </w:p>
        </w:tc>
        <w:tc>
          <w:tcPr>
            <w:tcW w:w="3143" w:type="dxa"/>
            <w:vAlign w:val="center"/>
          </w:tcPr>
          <w:p>
            <w:pPr>
              <w:widowControl/>
              <w:spacing w:line="360" w:lineRule="atLeast"/>
              <w:jc w:val="center"/>
              <w:rPr>
                <w:rFonts w:ascii="宋体" w:hAnsi="宋体" w:cs="宋体"/>
                <w:b/>
                <w:color w:val="000000"/>
              </w:rPr>
            </w:pPr>
          </w:p>
        </w:tc>
        <w:tc>
          <w:tcPr>
            <w:tcW w:w="3198" w:type="dxa"/>
            <w:vAlign w:val="center"/>
          </w:tcPr>
          <w:p>
            <w:pPr>
              <w:widowControl/>
              <w:spacing w:line="360" w:lineRule="atLeast"/>
              <w:jc w:val="center"/>
              <w:rPr>
                <w:rFonts w:ascii="宋体" w:hAnsi="宋体" w:cs="宋体"/>
                <w:b/>
                <w:color w:val="000000"/>
              </w:rPr>
            </w:pPr>
          </w:p>
        </w:tc>
        <w:tc>
          <w:tcPr>
            <w:tcW w:w="1310" w:type="dxa"/>
            <w:vAlign w:val="center"/>
          </w:tcPr>
          <w:p>
            <w:pPr>
              <w:widowControl/>
              <w:spacing w:line="360" w:lineRule="atLeast"/>
              <w:jc w:val="center"/>
              <w:rPr>
                <w:rFonts w:ascii="宋体" w:hAnsi="宋体" w:cs="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9" w:type="dxa"/>
            <w:gridSpan w:val="4"/>
            <w:vAlign w:val="center"/>
          </w:tcPr>
          <w:p>
            <w:pPr>
              <w:widowControl/>
              <w:spacing w:line="360" w:lineRule="atLeast"/>
              <w:jc w:val="left"/>
              <w:rPr>
                <w:rFonts w:ascii="宋体" w:hAnsi="宋体" w:cs="宋体"/>
                <w:b/>
                <w:color w:val="000000"/>
              </w:rPr>
            </w:pPr>
            <w:r>
              <w:rPr>
                <w:rFonts w:ascii="宋体" w:hAnsi="宋体" w:cs="宋体"/>
                <w:b/>
                <w:color w:val="000000"/>
              </w:rPr>
              <w:t>分项报价小计</w:t>
            </w:r>
            <w:r>
              <w:rPr>
                <w:rFonts w:hint="eastAsia" w:ascii="宋体" w:hAnsi="宋体" w:cs="宋体"/>
                <w:b/>
                <w:color w:val="000000"/>
              </w:rPr>
              <w:t>：</w:t>
            </w:r>
            <w:r>
              <w:rPr>
                <w:rFonts w:ascii="宋体" w:hAnsi="宋体" w:cs="宋体"/>
                <w:b/>
                <w:color w:val="000000"/>
              </w:rPr>
              <w:t>小写</w:t>
            </w:r>
            <w:r>
              <w:rPr>
                <w:rFonts w:hint="eastAsia" w:ascii="宋体" w:hAnsi="宋体" w:cs="宋体"/>
                <w:b/>
                <w:color w:val="000000"/>
              </w:rPr>
              <w:t xml:space="preserve">        （元）</w:t>
            </w:r>
          </w:p>
          <w:p>
            <w:pPr>
              <w:pStyle w:val="21"/>
              <w:ind w:firstLine="1476" w:firstLineChars="700"/>
              <w:jc w:val="left"/>
              <w:rPr>
                <w:rFonts w:ascii="宋体" w:hAnsi="宋体"/>
                <w:b/>
                <w:color w:val="000000"/>
              </w:rPr>
            </w:pPr>
            <w:r>
              <w:rPr>
                <w:rFonts w:hint="eastAsia" w:ascii="宋体" w:hAnsi="宋体"/>
                <w:b/>
                <w:color w:val="000000"/>
              </w:rPr>
              <w:t>大写</w:t>
            </w:r>
          </w:p>
        </w:tc>
      </w:tr>
    </w:tbl>
    <w:p>
      <w:pPr>
        <w:pStyle w:val="21"/>
        <w:spacing w:after="0" w:line="360" w:lineRule="auto"/>
        <w:ind w:firstLine="420" w:firstLineChars="200"/>
        <w:rPr>
          <w:rFonts w:ascii="宋体" w:hAnsi="宋体" w:cs="宋体"/>
          <w:color w:val="000000"/>
        </w:rPr>
      </w:pPr>
    </w:p>
    <w:p>
      <w:pPr>
        <w:pStyle w:val="21"/>
        <w:spacing w:after="0" w:line="360" w:lineRule="auto"/>
        <w:ind w:firstLine="420" w:firstLineChars="200"/>
        <w:rPr>
          <w:rFonts w:ascii="宋体" w:hAnsi="宋体" w:cs="宋体"/>
          <w:color w:val="000000"/>
        </w:rPr>
      </w:pPr>
      <w:r>
        <w:rPr>
          <w:rFonts w:hint="eastAsia" w:ascii="宋体" w:hAnsi="宋体" w:cs="宋体"/>
          <w:color w:val="000000"/>
        </w:rPr>
        <w:t>注：①报价应是最终用户验收合格后的总价，包含完成本项目所涉及人员劳务、差旅、调研、利润、保险、风险、税金、招标代理服务费等的一切费用。</w:t>
      </w:r>
    </w:p>
    <w:p>
      <w:pPr>
        <w:pStyle w:val="21"/>
        <w:spacing w:after="0" w:line="360" w:lineRule="auto"/>
        <w:ind w:firstLine="420" w:firstLineChars="200"/>
        <w:rPr>
          <w:rFonts w:ascii="宋体" w:hAnsi="宋体" w:cs="宋体"/>
          <w:color w:val="000000"/>
        </w:rPr>
      </w:pPr>
      <w:r>
        <w:rPr>
          <w:rFonts w:hint="eastAsia" w:ascii="宋体" w:hAnsi="宋体" w:cs="宋体"/>
          <w:color w:val="000000"/>
        </w:rPr>
        <w:t>②“分项报价明细表”各分项报价合计应当应与“开标一览表”报价合计相等，出现不一致的，按第七章3.9要求进行修正。</w:t>
      </w:r>
    </w:p>
    <w:p>
      <w:pPr>
        <w:pStyle w:val="21"/>
        <w:spacing w:after="0" w:line="360" w:lineRule="auto"/>
        <w:ind w:firstLine="420" w:firstLineChars="200"/>
        <w:rPr>
          <w:rFonts w:ascii="宋体" w:hAnsi="宋体" w:cs="宋体"/>
          <w:color w:val="000000"/>
        </w:rPr>
      </w:pPr>
      <w:r>
        <w:rPr>
          <w:rFonts w:hint="eastAsia" w:ascii="宋体" w:hAnsi="宋体" w:cs="宋体"/>
          <w:color w:val="000000"/>
        </w:rPr>
        <w:t>③表格可根据实际情况修改、增减。</w:t>
      </w:r>
    </w:p>
    <w:p>
      <w:pPr>
        <w:spacing w:line="360" w:lineRule="auto"/>
        <w:ind w:firstLine="420" w:firstLineChars="200"/>
        <w:rPr>
          <w:rFonts w:ascii="宋体" w:hAnsi="宋体" w:cs="宋体"/>
          <w:color w:val="000000"/>
        </w:rPr>
      </w:pPr>
      <w:r>
        <w:rPr>
          <w:rFonts w:hint="eastAsia"/>
          <w:color w:val="000000"/>
        </w:rPr>
        <w:t>④</w:t>
      </w:r>
      <w:r>
        <w:rPr>
          <w:rFonts w:hint="eastAsia" w:ascii="宋体" w:hAnsi="宋体" w:cs="宋体"/>
          <w:color w:val="000000"/>
        </w:rPr>
        <w:t>分项报价明细表为多页时，每页均需由法定代表人或授权代表签字并盖投标人印章。</w:t>
      </w:r>
    </w:p>
    <w:p>
      <w:pPr>
        <w:pStyle w:val="21"/>
        <w:rPr>
          <w:color w:val="000000"/>
        </w:rPr>
      </w:pPr>
    </w:p>
    <w:p>
      <w:pPr>
        <w:spacing w:line="360" w:lineRule="auto"/>
        <w:ind w:firstLine="480" w:firstLineChars="200"/>
        <w:jc w:val="left"/>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法定代表人/单位负责人/授权代表</w:t>
      </w:r>
      <w:r>
        <w:rPr>
          <w:rFonts w:hint="eastAsia" w:ascii="宋体" w:hAnsi="宋体" w:cs="宋体"/>
          <w:color w:val="000000"/>
          <w:sz w:val="24"/>
        </w:rPr>
        <w:t>（签字或加盖个人名章）</w:t>
      </w:r>
      <w:r>
        <w:rPr>
          <w:rFonts w:hint="eastAsia" w:ascii="宋体" w:hAnsi="宋体"/>
          <w:color w:val="000000"/>
          <w:sz w:val="24"/>
        </w:rPr>
        <w:t>：</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p>
    <w:p>
      <w:pPr>
        <w:spacing w:before="159" w:beforeLines="50" w:line="360" w:lineRule="auto"/>
        <w:jc w:val="center"/>
        <w:outlineLvl w:val="2"/>
        <w:rPr>
          <w:rFonts w:ascii="宋体" w:hAnsi="宋体" w:cs="宋体"/>
          <w:b/>
          <w:color w:val="000000"/>
          <w:sz w:val="32"/>
          <w:szCs w:val="32"/>
        </w:rPr>
      </w:pPr>
      <w:r>
        <w:rPr>
          <w:rFonts w:ascii="宋体" w:hAnsi="宋体" w:cs="宋体"/>
          <w:b/>
          <w:color w:val="000000"/>
          <w:sz w:val="32"/>
          <w:szCs w:val="32"/>
        </w:rPr>
        <w:br w:type="page"/>
      </w:r>
      <w:r>
        <w:rPr>
          <w:rFonts w:hint="eastAsia" w:ascii="宋体" w:hAnsi="宋体" w:cs="宋体"/>
          <w:b/>
          <w:color w:val="000000"/>
          <w:sz w:val="32"/>
          <w:szCs w:val="32"/>
        </w:rPr>
        <w:t>三、</w:t>
      </w:r>
      <w:bookmarkStart w:id="213" w:name="_Toc217446087"/>
      <w:r>
        <w:rPr>
          <w:rFonts w:hint="eastAsia" w:ascii="宋体" w:hAnsi="宋体" w:cs="宋体"/>
          <w:b/>
          <w:color w:val="000000"/>
          <w:sz w:val="32"/>
          <w:szCs w:val="32"/>
        </w:rPr>
        <w:t>商务应答表</w:t>
      </w:r>
      <w:bookmarkEnd w:id="208"/>
      <w:bookmarkEnd w:id="209"/>
      <w:bookmarkEnd w:id="213"/>
    </w:p>
    <w:p>
      <w:pPr>
        <w:pStyle w:val="13"/>
        <w:tabs>
          <w:tab w:val="left" w:pos="7020"/>
        </w:tabs>
        <w:spacing w:line="360" w:lineRule="auto"/>
        <w:ind w:firstLine="0"/>
        <w:rPr>
          <w:rFonts w:ascii="宋体" w:hAnsi="宋体"/>
          <w:color w:val="000000"/>
          <w:sz w:val="24"/>
        </w:rPr>
      </w:pPr>
      <w:r>
        <w:rPr>
          <w:rFonts w:hint="eastAsia" w:ascii="宋体" w:hAnsi="宋体"/>
          <w:color w:val="000000"/>
          <w:sz w:val="24"/>
        </w:rPr>
        <w:t xml:space="preserve">     </w:t>
      </w:r>
    </w:p>
    <w:bookmarkEnd w:id="210"/>
    <w:bookmarkEnd w:id="211"/>
    <w:bookmarkEnd w:id="212"/>
    <w:tbl>
      <w:tblPr>
        <w:tblStyle w:val="4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625"/>
        <w:gridCol w:w="2415"/>
        <w:gridCol w:w="262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spacing w:before="159" w:beforeLines="50" w:after="159" w:afterLines="50"/>
              <w:jc w:val="center"/>
              <w:rPr>
                <w:rFonts w:ascii="宋体" w:hAnsi="宋体"/>
                <w:b/>
                <w:color w:val="000000"/>
                <w:szCs w:val="21"/>
              </w:rPr>
            </w:pPr>
            <w:bookmarkStart w:id="214" w:name="_Toc24167"/>
            <w:r>
              <w:rPr>
                <w:rFonts w:hint="eastAsia" w:ascii="宋体" w:hAnsi="宋体"/>
                <w:b/>
                <w:color w:val="000000"/>
                <w:szCs w:val="21"/>
              </w:rPr>
              <w:t>序号</w:t>
            </w:r>
          </w:p>
        </w:tc>
        <w:tc>
          <w:tcPr>
            <w:tcW w:w="2625" w:type="dxa"/>
            <w:vAlign w:val="center"/>
          </w:tcPr>
          <w:p>
            <w:pPr>
              <w:spacing w:before="159" w:beforeLines="50" w:after="159" w:afterLines="50"/>
              <w:jc w:val="center"/>
              <w:rPr>
                <w:rFonts w:ascii="宋体" w:hAnsi="宋体"/>
                <w:b/>
                <w:color w:val="000000"/>
                <w:szCs w:val="21"/>
              </w:rPr>
            </w:pPr>
            <w:r>
              <w:rPr>
                <w:rFonts w:hint="eastAsia" w:ascii="宋体" w:hAnsi="宋体"/>
                <w:b/>
                <w:color w:val="000000"/>
                <w:szCs w:val="21"/>
              </w:rPr>
              <w:t>招标要求</w:t>
            </w:r>
          </w:p>
        </w:tc>
        <w:tc>
          <w:tcPr>
            <w:tcW w:w="2415" w:type="dxa"/>
            <w:vAlign w:val="center"/>
          </w:tcPr>
          <w:p>
            <w:pPr>
              <w:spacing w:before="159" w:beforeLines="50" w:after="159" w:afterLines="50"/>
              <w:jc w:val="center"/>
              <w:rPr>
                <w:rFonts w:ascii="宋体" w:hAnsi="宋体"/>
                <w:b/>
                <w:color w:val="000000"/>
                <w:szCs w:val="21"/>
              </w:rPr>
            </w:pPr>
            <w:r>
              <w:rPr>
                <w:rFonts w:hint="eastAsia" w:ascii="宋体" w:hAnsi="宋体"/>
                <w:b/>
                <w:color w:val="000000"/>
                <w:szCs w:val="21"/>
              </w:rPr>
              <w:t>投标响应</w:t>
            </w:r>
          </w:p>
        </w:tc>
        <w:tc>
          <w:tcPr>
            <w:tcW w:w="2621" w:type="dxa"/>
            <w:vAlign w:val="center"/>
          </w:tcPr>
          <w:p>
            <w:pPr>
              <w:spacing w:before="159" w:beforeLines="50" w:after="159" w:afterLines="50"/>
              <w:jc w:val="center"/>
              <w:rPr>
                <w:rFonts w:ascii="宋体" w:hAnsi="宋体"/>
                <w:b/>
                <w:color w:val="000000"/>
                <w:szCs w:val="21"/>
              </w:rPr>
            </w:pPr>
            <w:r>
              <w:rPr>
                <w:rFonts w:hint="eastAsia" w:ascii="宋体" w:hAnsi="宋体"/>
                <w:b/>
                <w:color w:val="000000"/>
                <w:szCs w:val="21"/>
              </w:rPr>
              <w:t>偏离及其影响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spacing w:before="159" w:beforeLines="50" w:after="159" w:afterLines="50"/>
              <w:jc w:val="center"/>
              <w:rPr>
                <w:rFonts w:ascii="宋体" w:hAnsi="宋体"/>
                <w:color w:val="000000"/>
                <w:szCs w:val="21"/>
              </w:rPr>
            </w:pPr>
            <w:r>
              <w:rPr>
                <w:rFonts w:ascii="宋体" w:hAnsi="宋体"/>
                <w:color w:val="000000"/>
                <w:szCs w:val="21"/>
              </w:rPr>
              <w:t>1</w:t>
            </w:r>
          </w:p>
        </w:tc>
        <w:tc>
          <w:tcPr>
            <w:tcW w:w="2625" w:type="dxa"/>
          </w:tcPr>
          <w:p>
            <w:pPr>
              <w:spacing w:before="159" w:beforeLines="50" w:after="159" w:afterLines="50"/>
              <w:jc w:val="center"/>
              <w:rPr>
                <w:rFonts w:ascii="宋体" w:hAnsi="宋体"/>
                <w:color w:val="000000"/>
                <w:szCs w:val="21"/>
              </w:rPr>
            </w:pPr>
          </w:p>
        </w:tc>
        <w:tc>
          <w:tcPr>
            <w:tcW w:w="2415" w:type="dxa"/>
          </w:tcPr>
          <w:p>
            <w:pPr>
              <w:spacing w:before="159" w:beforeLines="50" w:after="159" w:afterLines="50"/>
              <w:jc w:val="center"/>
              <w:rPr>
                <w:rFonts w:ascii="宋体" w:hAnsi="宋体"/>
                <w:color w:val="000000"/>
                <w:szCs w:val="21"/>
              </w:rPr>
            </w:pPr>
          </w:p>
        </w:tc>
        <w:tc>
          <w:tcPr>
            <w:tcW w:w="2621" w:type="dxa"/>
          </w:tcPr>
          <w:p>
            <w:pPr>
              <w:spacing w:before="159" w:beforeLines="50" w:after="159" w:afterLines="50"/>
              <w:jc w:val="center"/>
              <w:rPr>
                <w:rFonts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spacing w:before="159" w:beforeLines="50" w:after="159" w:afterLines="50"/>
              <w:jc w:val="center"/>
              <w:rPr>
                <w:rFonts w:ascii="宋体" w:hAnsi="宋体"/>
                <w:color w:val="000000"/>
                <w:szCs w:val="21"/>
              </w:rPr>
            </w:pPr>
            <w:r>
              <w:rPr>
                <w:rFonts w:ascii="宋体" w:hAnsi="宋体"/>
                <w:color w:val="000000"/>
                <w:szCs w:val="21"/>
              </w:rPr>
              <w:t>2</w:t>
            </w:r>
          </w:p>
        </w:tc>
        <w:tc>
          <w:tcPr>
            <w:tcW w:w="2625" w:type="dxa"/>
          </w:tcPr>
          <w:p>
            <w:pPr>
              <w:spacing w:before="159" w:beforeLines="50" w:after="159" w:afterLines="50"/>
              <w:jc w:val="center"/>
              <w:rPr>
                <w:rFonts w:ascii="宋体" w:hAnsi="宋体"/>
                <w:color w:val="000000"/>
                <w:szCs w:val="21"/>
              </w:rPr>
            </w:pPr>
          </w:p>
        </w:tc>
        <w:tc>
          <w:tcPr>
            <w:tcW w:w="2415" w:type="dxa"/>
          </w:tcPr>
          <w:p>
            <w:pPr>
              <w:spacing w:before="159" w:beforeLines="50" w:after="159" w:afterLines="50"/>
              <w:jc w:val="center"/>
              <w:rPr>
                <w:rFonts w:ascii="宋体" w:hAnsi="宋体"/>
                <w:color w:val="000000"/>
                <w:szCs w:val="21"/>
              </w:rPr>
            </w:pPr>
          </w:p>
        </w:tc>
        <w:tc>
          <w:tcPr>
            <w:tcW w:w="2621" w:type="dxa"/>
          </w:tcPr>
          <w:p>
            <w:pPr>
              <w:spacing w:before="159" w:beforeLines="50" w:after="159" w:afterLines="50"/>
              <w:jc w:val="center"/>
              <w:rPr>
                <w:rFonts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spacing w:before="159" w:beforeLines="50" w:after="159" w:afterLines="50"/>
              <w:jc w:val="center"/>
              <w:rPr>
                <w:rFonts w:ascii="宋体" w:hAnsi="宋体"/>
                <w:color w:val="000000"/>
                <w:szCs w:val="21"/>
              </w:rPr>
            </w:pPr>
            <w:r>
              <w:rPr>
                <w:rFonts w:ascii="宋体" w:hAnsi="宋体"/>
                <w:color w:val="000000"/>
                <w:szCs w:val="21"/>
              </w:rPr>
              <w:t>3</w:t>
            </w:r>
          </w:p>
        </w:tc>
        <w:tc>
          <w:tcPr>
            <w:tcW w:w="2625" w:type="dxa"/>
          </w:tcPr>
          <w:p>
            <w:pPr>
              <w:spacing w:before="159" w:beforeLines="50" w:after="159" w:afterLines="50"/>
              <w:jc w:val="center"/>
              <w:rPr>
                <w:rFonts w:ascii="宋体" w:hAnsi="宋体"/>
                <w:color w:val="000000"/>
                <w:szCs w:val="21"/>
              </w:rPr>
            </w:pPr>
          </w:p>
        </w:tc>
        <w:tc>
          <w:tcPr>
            <w:tcW w:w="2415" w:type="dxa"/>
          </w:tcPr>
          <w:p>
            <w:pPr>
              <w:spacing w:before="159" w:beforeLines="50" w:after="159" w:afterLines="50"/>
              <w:jc w:val="center"/>
              <w:rPr>
                <w:rFonts w:ascii="宋体" w:hAnsi="宋体"/>
                <w:color w:val="000000"/>
                <w:szCs w:val="21"/>
              </w:rPr>
            </w:pPr>
          </w:p>
        </w:tc>
        <w:tc>
          <w:tcPr>
            <w:tcW w:w="2621" w:type="dxa"/>
          </w:tcPr>
          <w:p>
            <w:pPr>
              <w:spacing w:before="159" w:beforeLines="50" w:after="159" w:afterLines="50"/>
              <w:jc w:val="center"/>
              <w:rPr>
                <w:rFonts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spacing w:before="159" w:beforeLines="50" w:after="159" w:afterLines="50"/>
              <w:jc w:val="center"/>
              <w:rPr>
                <w:rFonts w:ascii="宋体" w:hAnsi="宋体"/>
                <w:color w:val="000000"/>
                <w:szCs w:val="21"/>
              </w:rPr>
            </w:pPr>
            <w:r>
              <w:rPr>
                <w:rFonts w:ascii="宋体" w:hAnsi="宋体"/>
                <w:color w:val="000000"/>
                <w:szCs w:val="21"/>
              </w:rPr>
              <w:t>4</w:t>
            </w:r>
          </w:p>
        </w:tc>
        <w:tc>
          <w:tcPr>
            <w:tcW w:w="2625" w:type="dxa"/>
          </w:tcPr>
          <w:p>
            <w:pPr>
              <w:spacing w:before="159" w:beforeLines="50" w:after="159" w:afterLines="50"/>
              <w:jc w:val="center"/>
              <w:rPr>
                <w:rFonts w:ascii="宋体" w:hAnsi="宋体"/>
                <w:color w:val="000000"/>
                <w:szCs w:val="21"/>
              </w:rPr>
            </w:pPr>
          </w:p>
        </w:tc>
        <w:tc>
          <w:tcPr>
            <w:tcW w:w="2415" w:type="dxa"/>
          </w:tcPr>
          <w:p>
            <w:pPr>
              <w:spacing w:before="159" w:beforeLines="50" w:after="159" w:afterLines="50"/>
              <w:jc w:val="center"/>
              <w:rPr>
                <w:rFonts w:ascii="宋体" w:hAnsi="宋体"/>
                <w:color w:val="000000"/>
                <w:szCs w:val="21"/>
              </w:rPr>
            </w:pPr>
          </w:p>
        </w:tc>
        <w:tc>
          <w:tcPr>
            <w:tcW w:w="2621" w:type="dxa"/>
          </w:tcPr>
          <w:p>
            <w:pPr>
              <w:spacing w:before="159" w:beforeLines="50" w:after="159" w:afterLines="50"/>
              <w:jc w:val="center"/>
              <w:rPr>
                <w:rFonts w:ascii="宋体" w:hAnsi="宋体"/>
                <w:color w:val="000000"/>
                <w:szCs w:val="21"/>
              </w:rPr>
            </w:pPr>
          </w:p>
        </w:tc>
      </w:tr>
    </w:tbl>
    <w:p>
      <w:pPr>
        <w:spacing w:line="360" w:lineRule="auto"/>
        <w:ind w:firstLine="420" w:firstLineChars="200"/>
        <w:rPr>
          <w:rFonts w:ascii="宋体" w:hAnsi="宋体"/>
          <w:color w:val="000000"/>
        </w:rPr>
      </w:pPr>
    </w:p>
    <w:p>
      <w:pPr>
        <w:spacing w:line="360" w:lineRule="auto"/>
        <w:ind w:firstLine="420" w:firstLineChars="200"/>
        <w:rPr>
          <w:rFonts w:ascii="宋体" w:hAnsi="宋体"/>
          <w:color w:val="000000"/>
        </w:rPr>
      </w:pPr>
      <w:r>
        <w:rPr>
          <w:rFonts w:hint="eastAsia" w:ascii="宋体" w:hAnsi="宋体"/>
          <w:color w:val="000000"/>
        </w:rPr>
        <w:t>注：</w:t>
      </w:r>
      <w:r>
        <w:rPr>
          <w:rFonts w:ascii="宋体" w:hAnsi="宋体"/>
          <w:color w:val="000000"/>
        </w:rPr>
        <w:t>1.本表只填写投标文件中与招标文件有偏离（包括正偏离和负偏离）的内容，投标文件中商务响应与招标文件要求完全一致的，不用在此表中列出。</w:t>
      </w:r>
    </w:p>
    <w:p>
      <w:pPr>
        <w:spacing w:line="360" w:lineRule="auto"/>
        <w:ind w:firstLine="420" w:firstLineChars="200"/>
        <w:rPr>
          <w:rFonts w:ascii="宋体" w:hAnsi="宋体"/>
          <w:color w:val="000000"/>
        </w:rPr>
      </w:pPr>
      <w:r>
        <w:rPr>
          <w:rFonts w:ascii="宋体" w:hAnsi="宋体"/>
          <w:color w:val="000000"/>
        </w:rPr>
        <w:t>2．投标人必须据实填写，不得虚假响应，否则将取消其投标或中标资格，并按有关规定进行处罚。</w:t>
      </w:r>
    </w:p>
    <w:p>
      <w:pPr>
        <w:adjustRightInd w:val="0"/>
        <w:spacing w:line="400" w:lineRule="exact"/>
        <w:ind w:firstLine="490" w:firstLineChars="175"/>
        <w:jc w:val="left"/>
        <w:rPr>
          <w:rFonts w:ascii="宋体" w:hAnsi="宋体"/>
          <w:bCs/>
          <w:color w:val="000000"/>
          <w:sz w:val="28"/>
          <w:szCs w:val="28"/>
        </w:rPr>
      </w:pPr>
    </w:p>
    <w:p>
      <w:pPr>
        <w:adjustRightInd w:val="0"/>
        <w:spacing w:line="400" w:lineRule="exact"/>
        <w:ind w:firstLine="490" w:firstLineChars="175"/>
        <w:jc w:val="left"/>
        <w:rPr>
          <w:rFonts w:ascii="宋体" w:hAnsi="宋体"/>
          <w:bCs/>
          <w:color w:val="000000"/>
          <w:sz w:val="28"/>
          <w:szCs w:val="28"/>
        </w:rPr>
      </w:pPr>
    </w:p>
    <w:p>
      <w:pPr>
        <w:adjustRightInd w:val="0"/>
        <w:spacing w:line="400" w:lineRule="exact"/>
        <w:ind w:firstLine="490" w:firstLineChars="175"/>
        <w:jc w:val="left"/>
        <w:rPr>
          <w:rFonts w:ascii="宋体" w:hAnsi="宋体"/>
          <w:bCs/>
          <w:color w:val="000000"/>
          <w:sz w:val="28"/>
          <w:szCs w:val="28"/>
        </w:rPr>
      </w:pPr>
    </w:p>
    <w:p>
      <w:pPr>
        <w:spacing w:line="360" w:lineRule="auto"/>
        <w:ind w:firstLine="480" w:firstLineChars="200"/>
        <w:rPr>
          <w:rFonts w:ascii="宋体" w:hAnsi="宋体"/>
          <w:bCs/>
          <w:color w:val="000000"/>
          <w:sz w:val="24"/>
        </w:rPr>
      </w:pPr>
    </w:p>
    <w:p>
      <w:pPr>
        <w:spacing w:line="360" w:lineRule="auto"/>
        <w:ind w:firstLine="480" w:firstLineChars="200"/>
        <w:jc w:val="left"/>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法定代表人/单位负责人/授权代表</w:t>
      </w:r>
      <w:r>
        <w:rPr>
          <w:rFonts w:hint="eastAsia" w:ascii="宋体" w:hAnsi="宋体" w:cs="宋体"/>
          <w:color w:val="000000"/>
          <w:sz w:val="24"/>
        </w:rPr>
        <w:t>（签字或加盖个人名章）</w:t>
      </w:r>
      <w:r>
        <w:rPr>
          <w:rFonts w:hint="eastAsia"/>
          <w:color w:val="000000"/>
          <w:sz w:val="24"/>
        </w:rPr>
        <w:t>：</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日      期：</w:t>
      </w:r>
      <w:r>
        <w:rPr>
          <w:rFonts w:hint="eastAsia" w:ascii="宋体" w:hAnsi="宋体"/>
          <w:color w:val="000000"/>
          <w:sz w:val="24"/>
          <w:u w:val="single"/>
        </w:rPr>
        <w:t xml:space="preserve">      </w:t>
      </w:r>
      <w:r>
        <w:rPr>
          <w:rFonts w:hint="eastAsia"/>
          <w:color w:val="000000"/>
          <w:sz w:val="24"/>
        </w:rPr>
        <w:t>年</w:t>
      </w:r>
      <w:r>
        <w:rPr>
          <w:rFonts w:hint="eastAsia" w:ascii="宋体" w:hAnsi="宋体"/>
          <w:color w:val="000000"/>
          <w:sz w:val="24"/>
          <w:u w:val="single"/>
        </w:rPr>
        <w:t xml:space="preserve">   </w:t>
      </w:r>
      <w:r>
        <w:rPr>
          <w:rFonts w:hint="eastAsia"/>
          <w:color w:val="000000"/>
          <w:sz w:val="24"/>
        </w:rPr>
        <w:t>月</w:t>
      </w:r>
      <w:r>
        <w:rPr>
          <w:rFonts w:hint="eastAsia" w:ascii="宋体" w:hAnsi="宋体"/>
          <w:color w:val="000000"/>
          <w:sz w:val="24"/>
          <w:u w:val="single"/>
        </w:rPr>
        <w:t xml:space="preserve">   </w:t>
      </w:r>
      <w:r>
        <w:rPr>
          <w:rFonts w:hint="eastAsia"/>
          <w:color w:val="000000"/>
          <w:sz w:val="24"/>
        </w:rPr>
        <w:t xml:space="preserve">日 </w:t>
      </w:r>
    </w:p>
    <w:p>
      <w:pPr>
        <w:spacing w:line="360" w:lineRule="auto"/>
        <w:ind w:firstLine="562" w:firstLineChars="200"/>
        <w:jc w:val="center"/>
        <w:rPr>
          <w:rFonts w:ascii="宋体" w:hAnsi="宋体" w:cs="宋体"/>
          <w:b/>
          <w:bCs/>
          <w:color w:val="000000"/>
          <w:kern w:val="0"/>
          <w:sz w:val="28"/>
          <w:szCs w:val="28"/>
        </w:rPr>
      </w:pPr>
    </w:p>
    <w:p>
      <w:pPr>
        <w:spacing w:before="159" w:beforeLines="50" w:line="360" w:lineRule="auto"/>
        <w:ind w:firstLine="626"/>
        <w:jc w:val="center"/>
        <w:outlineLvl w:val="2"/>
        <w:rPr>
          <w:b/>
          <w:color w:val="000000"/>
          <w:sz w:val="32"/>
          <w:szCs w:val="32"/>
        </w:rPr>
      </w:pPr>
      <w:r>
        <w:rPr>
          <w:rFonts w:ascii="宋体" w:hAnsi="宋体" w:cs="宋体"/>
          <w:b/>
          <w:bCs/>
          <w:color w:val="000000"/>
          <w:kern w:val="0"/>
          <w:sz w:val="28"/>
          <w:szCs w:val="28"/>
        </w:rPr>
        <w:br w:type="page"/>
      </w:r>
      <w:bookmarkStart w:id="215" w:name="_Toc15849"/>
      <w:r>
        <w:rPr>
          <w:rFonts w:hint="eastAsia"/>
          <w:b/>
          <w:color w:val="000000"/>
          <w:sz w:val="32"/>
          <w:szCs w:val="32"/>
        </w:rPr>
        <w:t>四、投标人基本情况表</w:t>
      </w:r>
      <w:bookmarkEnd w:id="215"/>
    </w:p>
    <w:tbl>
      <w:tblPr>
        <w:tblStyle w:val="47"/>
        <w:tblpPr w:leftFromText="180" w:rightFromText="180" w:vertAnchor="text" w:horzAnchor="page" w:tblpX="1252" w:tblpY="280"/>
        <w:tblOverlap w:val="never"/>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1157"/>
        <w:gridCol w:w="1502"/>
        <w:gridCol w:w="1511"/>
        <w:gridCol w:w="1599"/>
        <w:gridCol w:w="189"/>
        <w:gridCol w:w="837"/>
        <w:gridCol w:w="92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16" w:name="_Toc26379"/>
            <w:bookmarkStart w:id="217" w:name="_Toc4638"/>
            <w:r>
              <w:rPr>
                <w:rFonts w:hint="eastAsia" w:ascii="宋体"/>
                <w:color w:val="000000"/>
                <w:sz w:val="24"/>
              </w:rPr>
              <w:t>投标人名称</w:t>
            </w:r>
            <w:bookmarkEnd w:id="216"/>
            <w:bookmarkEnd w:id="217"/>
          </w:p>
        </w:tc>
        <w:tc>
          <w:tcPr>
            <w:tcW w:w="7720" w:type="dxa"/>
            <w:gridSpan w:val="7"/>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18" w:name="_Toc8645"/>
            <w:bookmarkStart w:id="219" w:name="_Toc27404"/>
            <w:r>
              <w:rPr>
                <w:rFonts w:hint="eastAsia" w:ascii="宋体"/>
                <w:color w:val="000000"/>
                <w:sz w:val="24"/>
              </w:rPr>
              <w:t>注册地址</w:t>
            </w:r>
            <w:bookmarkEnd w:id="218"/>
            <w:bookmarkEnd w:id="219"/>
          </w:p>
        </w:tc>
        <w:tc>
          <w:tcPr>
            <w:tcW w:w="4170" w:type="dxa"/>
            <w:gridSpan w:val="3"/>
            <w:vAlign w:val="center"/>
          </w:tcPr>
          <w:p>
            <w:pPr>
              <w:widowControl/>
              <w:spacing w:before="159" w:beforeLines="50" w:after="159" w:afterLines="50"/>
              <w:jc w:val="center"/>
              <w:rPr>
                <w:rFonts w:ascii="宋体"/>
                <w:color w:val="000000"/>
                <w:sz w:val="24"/>
              </w:rPr>
            </w:pPr>
          </w:p>
        </w:tc>
        <w:tc>
          <w:tcPr>
            <w:tcW w:w="1599" w:type="dxa"/>
            <w:vAlign w:val="center"/>
          </w:tcPr>
          <w:p>
            <w:pPr>
              <w:widowControl/>
              <w:spacing w:before="159" w:beforeLines="50" w:after="159" w:afterLines="50"/>
              <w:jc w:val="center"/>
              <w:rPr>
                <w:rFonts w:ascii="宋体"/>
                <w:color w:val="000000"/>
                <w:sz w:val="24"/>
              </w:rPr>
            </w:pPr>
            <w:bookmarkStart w:id="220" w:name="_Toc4258"/>
            <w:bookmarkStart w:id="221" w:name="_Toc32501"/>
            <w:r>
              <w:rPr>
                <w:rFonts w:hint="eastAsia" w:ascii="宋体"/>
                <w:color w:val="000000"/>
                <w:sz w:val="24"/>
              </w:rPr>
              <w:t>邮政编码</w:t>
            </w:r>
            <w:bookmarkEnd w:id="220"/>
            <w:bookmarkEnd w:id="221"/>
          </w:p>
        </w:tc>
        <w:tc>
          <w:tcPr>
            <w:tcW w:w="1951" w:type="dxa"/>
            <w:gridSpan w:val="3"/>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Merge w:val="restart"/>
            <w:vAlign w:val="center"/>
          </w:tcPr>
          <w:p>
            <w:pPr>
              <w:widowControl/>
              <w:spacing w:before="159" w:beforeLines="50" w:after="159" w:afterLines="50"/>
              <w:jc w:val="center"/>
              <w:rPr>
                <w:rFonts w:ascii="宋体"/>
                <w:color w:val="000000"/>
                <w:sz w:val="24"/>
              </w:rPr>
            </w:pPr>
            <w:bookmarkStart w:id="222" w:name="_Toc25242"/>
            <w:bookmarkStart w:id="223" w:name="_Toc15439"/>
            <w:r>
              <w:rPr>
                <w:rFonts w:hint="eastAsia" w:ascii="宋体"/>
                <w:color w:val="000000"/>
                <w:sz w:val="24"/>
              </w:rPr>
              <w:t>联系方式</w:t>
            </w:r>
            <w:bookmarkEnd w:id="222"/>
            <w:bookmarkEnd w:id="223"/>
          </w:p>
        </w:tc>
        <w:tc>
          <w:tcPr>
            <w:tcW w:w="1157" w:type="dxa"/>
            <w:vAlign w:val="center"/>
          </w:tcPr>
          <w:p>
            <w:pPr>
              <w:widowControl/>
              <w:spacing w:before="159" w:beforeLines="50" w:after="159" w:afterLines="50"/>
              <w:jc w:val="center"/>
              <w:rPr>
                <w:rFonts w:ascii="宋体"/>
                <w:color w:val="000000"/>
                <w:sz w:val="24"/>
              </w:rPr>
            </w:pPr>
            <w:bookmarkStart w:id="224" w:name="_Toc298"/>
            <w:bookmarkStart w:id="225" w:name="_Toc24056"/>
            <w:r>
              <w:rPr>
                <w:rFonts w:hint="eastAsia" w:ascii="宋体"/>
                <w:color w:val="000000"/>
                <w:sz w:val="24"/>
              </w:rPr>
              <w:t>联系人</w:t>
            </w:r>
            <w:bookmarkEnd w:id="224"/>
            <w:bookmarkEnd w:id="225"/>
          </w:p>
        </w:tc>
        <w:tc>
          <w:tcPr>
            <w:tcW w:w="3013" w:type="dxa"/>
            <w:gridSpan w:val="2"/>
            <w:vAlign w:val="center"/>
          </w:tcPr>
          <w:p>
            <w:pPr>
              <w:widowControl/>
              <w:spacing w:before="159" w:beforeLines="50" w:after="159" w:afterLines="50"/>
              <w:jc w:val="center"/>
              <w:rPr>
                <w:rFonts w:ascii="宋体"/>
                <w:color w:val="000000"/>
                <w:sz w:val="24"/>
              </w:rPr>
            </w:pPr>
          </w:p>
        </w:tc>
        <w:tc>
          <w:tcPr>
            <w:tcW w:w="1599" w:type="dxa"/>
            <w:vAlign w:val="center"/>
          </w:tcPr>
          <w:p>
            <w:pPr>
              <w:widowControl/>
              <w:spacing w:before="159" w:beforeLines="50" w:after="159" w:afterLines="50"/>
              <w:jc w:val="center"/>
              <w:rPr>
                <w:rFonts w:ascii="宋体"/>
                <w:color w:val="000000"/>
                <w:sz w:val="24"/>
              </w:rPr>
            </w:pPr>
            <w:bookmarkStart w:id="226" w:name="_Toc28992"/>
            <w:bookmarkStart w:id="227" w:name="_Toc20623"/>
            <w:r>
              <w:rPr>
                <w:rFonts w:hint="eastAsia" w:ascii="宋体"/>
                <w:color w:val="000000"/>
                <w:sz w:val="24"/>
              </w:rPr>
              <w:t>电话</w:t>
            </w:r>
            <w:bookmarkEnd w:id="226"/>
            <w:bookmarkEnd w:id="227"/>
          </w:p>
        </w:tc>
        <w:tc>
          <w:tcPr>
            <w:tcW w:w="1951" w:type="dxa"/>
            <w:gridSpan w:val="3"/>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Merge w:val="continue"/>
            <w:vAlign w:val="center"/>
          </w:tcPr>
          <w:p>
            <w:pPr>
              <w:spacing w:before="159" w:beforeLines="50" w:after="159" w:afterLines="50"/>
              <w:jc w:val="center"/>
              <w:rPr>
                <w:color w:val="000000"/>
              </w:rPr>
            </w:pPr>
          </w:p>
        </w:tc>
        <w:tc>
          <w:tcPr>
            <w:tcW w:w="1157" w:type="dxa"/>
            <w:vAlign w:val="center"/>
          </w:tcPr>
          <w:p>
            <w:pPr>
              <w:widowControl/>
              <w:spacing w:before="159" w:beforeLines="50" w:after="159" w:afterLines="50"/>
              <w:jc w:val="center"/>
              <w:rPr>
                <w:rFonts w:ascii="宋体"/>
                <w:color w:val="000000"/>
                <w:sz w:val="24"/>
              </w:rPr>
            </w:pPr>
            <w:bookmarkStart w:id="228" w:name="_Toc739"/>
            <w:bookmarkStart w:id="229" w:name="_Toc23471"/>
            <w:r>
              <w:rPr>
                <w:rFonts w:hint="eastAsia" w:ascii="宋体"/>
                <w:color w:val="000000"/>
                <w:sz w:val="24"/>
              </w:rPr>
              <w:t>传真</w:t>
            </w:r>
            <w:bookmarkEnd w:id="228"/>
            <w:bookmarkEnd w:id="229"/>
          </w:p>
        </w:tc>
        <w:tc>
          <w:tcPr>
            <w:tcW w:w="3013" w:type="dxa"/>
            <w:gridSpan w:val="2"/>
            <w:vAlign w:val="center"/>
          </w:tcPr>
          <w:p>
            <w:pPr>
              <w:widowControl/>
              <w:spacing w:before="159" w:beforeLines="50" w:after="159" w:afterLines="50"/>
              <w:jc w:val="center"/>
              <w:rPr>
                <w:rFonts w:ascii="宋体"/>
                <w:color w:val="000000"/>
                <w:sz w:val="24"/>
              </w:rPr>
            </w:pPr>
          </w:p>
        </w:tc>
        <w:tc>
          <w:tcPr>
            <w:tcW w:w="1599" w:type="dxa"/>
            <w:vAlign w:val="center"/>
          </w:tcPr>
          <w:p>
            <w:pPr>
              <w:widowControl/>
              <w:spacing w:before="159" w:beforeLines="50" w:after="159" w:afterLines="50"/>
              <w:jc w:val="center"/>
              <w:rPr>
                <w:rFonts w:ascii="宋体"/>
                <w:color w:val="000000"/>
                <w:sz w:val="24"/>
              </w:rPr>
            </w:pPr>
            <w:bookmarkStart w:id="230" w:name="_Toc28112"/>
            <w:bookmarkStart w:id="231" w:name="_Toc21048"/>
            <w:r>
              <w:rPr>
                <w:rFonts w:hint="eastAsia" w:ascii="宋体"/>
                <w:color w:val="000000"/>
                <w:sz w:val="24"/>
              </w:rPr>
              <w:t>网址</w:t>
            </w:r>
            <w:bookmarkEnd w:id="230"/>
            <w:bookmarkEnd w:id="231"/>
          </w:p>
        </w:tc>
        <w:tc>
          <w:tcPr>
            <w:tcW w:w="1951" w:type="dxa"/>
            <w:gridSpan w:val="3"/>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32" w:name="_Toc9485"/>
            <w:bookmarkStart w:id="233" w:name="_Toc15612"/>
            <w:r>
              <w:rPr>
                <w:rFonts w:hint="eastAsia" w:ascii="宋体"/>
                <w:color w:val="000000"/>
                <w:sz w:val="24"/>
              </w:rPr>
              <w:t>组织结构</w:t>
            </w:r>
            <w:bookmarkEnd w:id="232"/>
            <w:bookmarkEnd w:id="233"/>
          </w:p>
        </w:tc>
        <w:tc>
          <w:tcPr>
            <w:tcW w:w="7720" w:type="dxa"/>
            <w:gridSpan w:val="7"/>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34" w:name="_Toc7823"/>
            <w:bookmarkStart w:id="235" w:name="_Toc16751"/>
            <w:r>
              <w:rPr>
                <w:rFonts w:hint="eastAsia" w:ascii="宋体"/>
                <w:color w:val="000000"/>
                <w:sz w:val="24"/>
              </w:rPr>
              <w:t>法定代表人</w:t>
            </w:r>
            <w:bookmarkEnd w:id="234"/>
            <w:bookmarkEnd w:id="235"/>
          </w:p>
        </w:tc>
        <w:tc>
          <w:tcPr>
            <w:tcW w:w="1157" w:type="dxa"/>
            <w:vAlign w:val="center"/>
          </w:tcPr>
          <w:p>
            <w:pPr>
              <w:widowControl/>
              <w:spacing w:before="159" w:beforeLines="50" w:after="159" w:afterLines="50"/>
              <w:jc w:val="center"/>
              <w:rPr>
                <w:rFonts w:ascii="宋体"/>
                <w:color w:val="000000"/>
                <w:sz w:val="24"/>
              </w:rPr>
            </w:pPr>
            <w:bookmarkStart w:id="236" w:name="_Toc20416"/>
            <w:bookmarkStart w:id="237" w:name="_Toc17690"/>
            <w:r>
              <w:rPr>
                <w:rFonts w:hint="eastAsia" w:ascii="宋体"/>
                <w:color w:val="000000"/>
                <w:sz w:val="24"/>
              </w:rPr>
              <w:t>姓名</w:t>
            </w:r>
            <w:bookmarkEnd w:id="236"/>
            <w:bookmarkEnd w:id="237"/>
          </w:p>
        </w:tc>
        <w:tc>
          <w:tcPr>
            <w:tcW w:w="1502" w:type="dxa"/>
            <w:vAlign w:val="center"/>
          </w:tcPr>
          <w:p>
            <w:pPr>
              <w:widowControl/>
              <w:spacing w:before="159" w:beforeLines="50" w:after="159" w:afterLines="50"/>
              <w:jc w:val="center"/>
              <w:rPr>
                <w:rFonts w:ascii="宋体"/>
                <w:color w:val="000000"/>
                <w:sz w:val="24"/>
              </w:rPr>
            </w:pPr>
          </w:p>
        </w:tc>
        <w:tc>
          <w:tcPr>
            <w:tcW w:w="1511" w:type="dxa"/>
            <w:vAlign w:val="center"/>
          </w:tcPr>
          <w:p>
            <w:pPr>
              <w:widowControl/>
              <w:spacing w:before="159" w:beforeLines="50" w:after="159" w:afterLines="50"/>
              <w:jc w:val="center"/>
              <w:rPr>
                <w:rFonts w:ascii="宋体"/>
                <w:color w:val="000000"/>
                <w:sz w:val="24"/>
              </w:rPr>
            </w:pPr>
            <w:bookmarkStart w:id="238" w:name="_Toc10579"/>
            <w:bookmarkStart w:id="239" w:name="_Toc12509"/>
            <w:r>
              <w:rPr>
                <w:rFonts w:hint="eastAsia" w:ascii="宋体"/>
                <w:color w:val="000000"/>
                <w:sz w:val="24"/>
              </w:rPr>
              <w:t>技术职称</w:t>
            </w:r>
            <w:bookmarkEnd w:id="238"/>
            <w:bookmarkEnd w:id="239"/>
          </w:p>
        </w:tc>
        <w:tc>
          <w:tcPr>
            <w:tcW w:w="1599" w:type="dxa"/>
            <w:vAlign w:val="center"/>
          </w:tcPr>
          <w:p>
            <w:pPr>
              <w:widowControl/>
              <w:spacing w:before="159" w:beforeLines="50" w:after="159" w:afterLines="50"/>
              <w:jc w:val="center"/>
              <w:rPr>
                <w:rFonts w:ascii="宋体"/>
                <w:color w:val="000000"/>
                <w:sz w:val="24"/>
              </w:rPr>
            </w:pPr>
          </w:p>
        </w:tc>
        <w:tc>
          <w:tcPr>
            <w:tcW w:w="1026" w:type="dxa"/>
            <w:gridSpan w:val="2"/>
            <w:vAlign w:val="center"/>
          </w:tcPr>
          <w:p>
            <w:pPr>
              <w:widowControl/>
              <w:spacing w:before="159" w:beforeLines="50" w:after="159" w:afterLines="50"/>
              <w:jc w:val="center"/>
              <w:rPr>
                <w:rFonts w:ascii="宋体"/>
                <w:color w:val="000000"/>
                <w:sz w:val="24"/>
              </w:rPr>
            </w:pPr>
            <w:bookmarkStart w:id="240" w:name="_Toc494"/>
            <w:bookmarkStart w:id="241" w:name="_Toc3111"/>
            <w:r>
              <w:rPr>
                <w:rFonts w:hint="eastAsia" w:ascii="宋体"/>
                <w:color w:val="000000"/>
                <w:sz w:val="24"/>
              </w:rPr>
              <w:t>电话</w:t>
            </w:r>
            <w:bookmarkEnd w:id="240"/>
            <w:bookmarkEnd w:id="241"/>
          </w:p>
        </w:tc>
        <w:tc>
          <w:tcPr>
            <w:tcW w:w="925" w:type="dxa"/>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42" w:name="_Toc10325"/>
            <w:bookmarkStart w:id="243" w:name="_Toc12149"/>
            <w:r>
              <w:rPr>
                <w:rFonts w:hint="eastAsia" w:ascii="宋体"/>
                <w:color w:val="000000"/>
                <w:sz w:val="24"/>
              </w:rPr>
              <w:t>技术负责人</w:t>
            </w:r>
            <w:bookmarkEnd w:id="242"/>
            <w:bookmarkEnd w:id="243"/>
          </w:p>
        </w:tc>
        <w:tc>
          <w:tcPr>
            <w:tcW w:w="1157" w:type="dxa"/>
            <w:vAlign w:val="center"/>
          </w:tcPr>
          <w:p>
            <w:pPr>
              <w:widowControl/>
              <w:spacing w:before="159" w:beforeLines="50" w:after="159" w:afterLines="50"/>
              <w:jc w:val="center"/>
              <w:rPr>
                <w:rFonts w:ascii="宋体"/>
                <w:color w:val="000000"/>
                <w:sz w:val="24"/>
              </w:rPr>
            </w:pPr>
            <w:bookmarkStart w:id="244" w:name="_Toc27464"/>
            <w:bookmarkStart w:id="245" w:name="_Toc3034"/>
            <w:r>
              <w:rPr>
                <w:rFonts w:hint="eastAsia" w:ascii="宋体"/>
                <w:color w:val="000000"/>
                <w:sz w:val="24"/>
              </w:rPr>
              <w:t>姓名</w:t>
            </w:r>
            <w:bookmarkEnd w:id="244"/>
            <w:bookmarkEnd w:id="245"/>
          </w:p>
        </w:tc>
        <w:tc>
          <w:tcPr>
            <w:tcW w:w="1502" w:type="dxa"/>
            <w:vAlign w:val="center"/>
          </w:tcPr>
          <w:p>
            <w:pPr>
              <w:widowControl/>
              <w:spacing w:before="159" w:beforeLines="50" w:after="159" w:afterLines="50"/>
              <w:jc w:val="center"/>
              <w:rPr>
                <w:rFonts w:ascii="宋体"/>
                <w:color w:val="000000"/>
                <w:sz w:val="24"/>
              </w:rPr>
            </w:pPr>
          </w:p>
        </w:tc>
        <w:tc>
          <w:tcPr>
            <w:tcW w:w="1511" w:type="dxa"/>
            <w:vAlign w:val="center"/>
          </w:tcPr>
          <w:p>
            <w:pPr>
              <w:widowControl/>
              <w:spacing w:before="159" w:beforeLines="50" w:after="159" w:afterLines="50"/>
              <w:jc w:val="center"/>
              <w:rPr>
                <w:rFonts w:ascii="宋体"/>
                <w:color w:val="000000"/>
                <w:sz w:val="24"/>
              </w:rPr>
            </w:pPr>
            <w:bookmarkStart w:id="246" w:name="_Toc27463"/>
            <w:bookmarkStart w:id="247" w:name="_Toc12940"/>
            <w:r>
              <w:rPr>
                <w:rFonts w:hint="eastAsia" w:ascii="宋体"/>
                <w:color w:val="000000"/>
                <w:sz w:val="24"/>
              </w:rPr>
              <w:t>技术职称</w:t>
            </w:r>
            <w:bookmarkEnd w:id="246"/>
            <w:bookmarkEnd w:id="247"/>
          </w:p>
        </w:tc>
        <w:tc>
          <w:tcPr>
            <w:tcW w:w="1599" w:type="dxa"/>
            <w:vAlign w:val="center"/>
          </w:tcPr>
          <w:p>
            <w:pPr>
              <w:widowControl/>
              <w:spacing w:before="159" w:beforeLines="50" w:after="159" w:afterLines="50"/>
              <w:jc w:val="center"/>
              <w:rPr>
                <w:rFonts w:ascii="宋体"/>
                <w:color w:val="000000"/>
                <w:sz w:val="24"/>
              </w:rPr>
            </w:pPr>
          </w:p>
        </w:tc>
        <w:tc>
          <w:tcPr>
            <w:tcW w:w="1026" w:type="dxa"/>
            <w:gridSpan w:val="2"/>
            <w:vAlign w:val="center"/>
          </w:tcPr>
          <w:p>
            <w:pPr>
              <w:widowControl/>
              <w:spacing w:before="159" w:beforeLines="50" w:after="159" w:afterLines="50"/>
              <w:jc w:val="center"/>
              <w:rPr>
                <w:rFonts w:ascii="宋体"/>
                <w:color w:val="000000"/>
                <w:sz w:val="24"/>
              </w:rPr>
            </w:pPr>
            <w:bookmarkStart w:id="248" w:name="_Toc7779"/>
            <w:bookmarkStart w:id="249" w:name="_Toc3798"/>
            <w:r>
              <w:rPr>
                <w:rFonts w:hint="eastAsia" w:ascii="宋体"/>
                <w:color w:val="000000"/>
                <w:sz w:val="24"/>
              </w:rPr>
              <w:t>电话</w:t>
            </w:r>
            <w:bookmarkEnd w:id="248"/>
            <w:bookmarkEnd w:id="249"/>
          </w:p>
        </w:tc>
        <w:tc>
          <w:tcPr>
            <w:tcW w:w="925" w:type="dxa"/>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50" w:name="_Toc16310"/>
            <w:bookmarkStart w:id="251" w:name="_Toc8"/>
            <w:r>
              <w:rPr>
                <w:rFonts w:hint="eastAsia" w:ascii="宋体"/>
                <w:color w:val="000000"/>
                <w:sz w:val="24"/>
              </w:rPr>
              <w:t>成立时间</w:t>
            </w:r>
            <w:bookmarkEnd w:id="250"/>
            <w:bookmarkEnd w:id="251"/>
          </w:p>
        </w:tc>
        <w:tc>
          <w:tcPr>
            <w:tcW w:w="2659" w:type="dxa"/>
            <w:gridSpan w:val="2"/>
            <w:vAlign w:val="center"/>
          </w:tcPr>
          <w:p>
            <w:pPr>
              <w:widowControl/>
              <w:spacing w:before="159" w:beforeLines="50" w:after="159" w:afterLines="50"/>
              <w:jc w:val="center"/>
              <w:rPr>
                <w:rFonts w:ascii="宋体"/>
                <w:color w:val="000000"/>
                <w:sz w:val="24"/>
              </w:rPr>
            </w:pPr>
          </w:p>
        </w:tc>
        <w:tc>
          <w:tcPr>
            <w:tcW w:w="5061" w:type="dxa"/>
            <w:gridSpan w:val="5"/>
            <w:vAlign w:val="center"/>
          </w:tcPr>
          <w:p>
            <w:pPr>
              <w:widowControl/>
              <w:spacing w:before="159" w:beforeLines="50" w:after="159" w:afterLines="50"/>
              <w:jc w:val="center"/>
              <w:rPr>
                <w:rFonts w:ascii="宋体"/>
                <w:color w:val="000000"/>
                <w:sz w:val="24"/>
              </w:rPr>
            </w:pPr>
            <w:bookmarkStart w:id="252" w:name="_Toc2016"/>
            <w:bookmarkStart w:id="253" w:name="_Toc23754"/>
            <w:r>
              <w:rPr>
                <w:rFonts w:hint="eastAsia" w:ascii="宋体"/>
                <w:color w:val="000000"/>
                <w:sz w:val="24"/>
              </w:rPr>
              <w:t>员工总人数：</w:t>
            </w:r>
            <w:bookmarkEnd w:id="252"/>
            <w:bookmarkEnd w:id="253"/>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54" w:name="_Toc11746"/>
            <w:bookmarkStart w:id="255" w:name="_Toc22195"/>
            <w:r>
              <w:rPr>
                <w:rFonts w:hint="eastAsia" w:ascii="宋体"/>
                <w:color w:val="000000"/>
                <w:sz w:val="24"/>
              </w:rPr>
              <w:t>企业资质等级</w:t>
            </w:r>
            <w:bookmarkEnd w:id="254"/>
            <w:bookmarkEnd w:id="255"/>
          </w:p>
        </w:tc>
        <w:tc>
          <w:tcPr>
            <w:tcW w:w="2659" w:type="dxa"/>
            <w:gridSpan w:val="2"/>
            <w:vAlign w:val="center"/>
          </w:tcPr>
          <w:p>
            <w:pPr>
              <w:widowControl/>
              <w:spacing w:before="159" w:beforeLines="50" w:after="159" w:afterLines="50"/>
              <w:jc w:val="center"/>
              <w:rPr>
                <w:rFonts w:ascii="宋体"/>
                <w:color w:val="000000"/>
                <w:sz w:val="24"/>
              </w:rPr>
            </w:pPr>
          </w:p>
        </w:tc>
        <w:tc>
          <w:tcPr>
            <w:tcW w:w="1511" w:type="dxa"/>
            <w:vMerge w:val="restart"/>
            <w:vAlign w:val="center"/>
          </w:tcPr>
          <w:p>
            <w:pPr>
              <w:widowControl/>
              <w:spacing w:before="159" w:beforeLines="50" w:after="159" w:afterLines="50"/>
              <w:jc w:val="center"/>
              <w:rPr>
                <w:rFonts w:ascii="宋体"/>
                <w:color w:val="000000"/>
                <w:sz w:val="24"/>
              </w:rPr>
            </w:pPr>
            <w:bookmarkStart w:id="256" w:name="_Toc3383"/>
            <w:bookmarkStart w:id="257" w:name="_Toc32559"/>
            <w:r>
              <w:rPr>
                <w:rFonts w:hint="eastAsia" w:ascii="宋体"/>
                <w:color w:val="000000"/>
                <w:sz w:val="24"/>
              </w:rPr>
              <w:t>其中</w:t>
            </w:r>
            <w:bookmarkEnd w:id="256"/>
            <w:bookmarkEnd w:id="257"/>
          </w:p>
        </w:tc>
        <w:tc>
          <w:tcPr>
            <w:tcW w:w="1788" w:type="dxa"/>
            <w:gridSpan w:val="2"/>
            <w:vAlign w:val="center"/>
          </w:tcPr>
          <w:p>
            <w:pPr>
              <w:widowControl/>
              <w:spacing w:before="159" w:beforeLines="50" w:after="159" w:afterLines="50"/>
              <w:jc w:val="center"/>
              <w:rPr>
                <w:rFonts w:ascii="宋体"/>
                <w:color w:val="000000"/>
                <w:sz w:val="24"/>
              </w:rPr>
            </w:pPr>
            <w:bookmarkStart w:id="258" w:name="_Toc30184"/>
            <w:bookmarkStart w:id="259" w:name="_Toc3453"/>
            <w:r>
              <w:rPr>
                <w:rFonts w:hint="eastAsia" w:ascii="宋体"/>
                <w:color w:val="000000"/>
                <w:sz w:val="24"/>
              </w:rPr>
              <w:t>项目经理</w:t>
            </w:r>
            <w:bookmarkEnd w:id="258"/>
            <w:bookmarkEnd w:id="259"/>
          </w:p>
        </w:tc>
        <w:tc>
          <w:tcPr>
            <w:tcW w:w="1762" w:type="dxa"/>
            <w:gridSpan w:val="2"/>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60" w:name="_Toc11298"/>
            <w:bookmarkStart w:id="261" w:name="_Toc30603"/>
            <w:r>
              <w:rPr>
                <w:rFonts w:hint="eastAsia" w:ascii="宋体"/>
                <w:color w:val="000000"/>
                <w:sz w:val="24"/>
              </w:rPr>
              <w:t>营业执照号</w:t>
            </w:r>
            <w:bookmarkEnd w:id="260"/>
            <w:bookmarkEnd w:id="261"/>
          </w:p>
        </w:tc>
        <w:tc>
          <w:tcPr>
            <w:tcW w:w="2659" w:type="dxa"/>
            <w:gridSpan w:val="2"/>
            <w:vAlign w:val="center"/>
          </w:tcPr>
          <w:p>
            <w:pPr>
              <w:widowControl/>
              <w:spacing w:before="159" w:beforeLines="50" w:after="159" w:afterLines="50"/>
              <w:jc w:val="center"/>
              <w:rPr>
                <w:rFonts w:ascii="宋体"/>
                <w:color w:val="000000"/>
                <w:sz w:val="24"/>
              </w:rPr>
            </w:pPr>
          </w:p>
        </w:tc>
        <w:tc>
          <w:tcPr>
            <w:tcW w:w="1511" w:type="dxa"/>
            <w:vMerge w:val="continue"/>
            <w:vAlign w:val="center"/>
          </w:tcPr>
          <w:p>
            <w:pPr>
              <w:spacing w:before="159" w:beforeLines="50" w:after="159" w:afterLines="50"/>
              <w:jc w:val="center"/>
              <w:rPr>
                <w:color w:val="000000"/>
              </w:rPr>
            </w:pPr>
          </w:p>
        </w:tc>
        <w:tc>
          <w:tcPr>
            <w:tcW w:w="1788" w:type="dxa"/>
            <w:gridSpan w:val="2"/>
            <w:vAlign w:val="center"/>
          </w:tcPr>
          <w:p>
            <w:pPr>
              <w:widowControl/>
              <w:spacing w:before="159" w:beforeLines="50" w:after="159" w:afterLines="50"/>
              <w:jc w:val="center"/>
              <w:rPr>
                <w:rFonts w:ascii="宋体"/>
                <w:color w:val="000000"/>
                <w:sz w:val="24"/>
              </w:rPr>
            </w:pPr>
            <w:bookmarkStart w:id="262" w:name="_Toc24108"/>
            <w:bookmarkStart w:id="263" w:name="_Toc17148"/>
            <w:r>
              <w:rPr>
                <w:rFonts w:hint="eastAsia" w:ascii="宋体"/>
                <w:color w:val="000000"/>
                <w:sz w:val="24"/>
              </w:rPr>
              <w:t>高级职称人员</w:t>
            </w:r>
            <w:bookmarkEnd w:id="262"/>
            <w:bookmarkEnd w:id="263"/>
          </w:p>
        </w:tc>
        <w:tc>
          <w:tcPr>
            <w:tcW w:w="1762" w:type="dxa"/>
            <w:gridSpan w:val="2"/>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64" w:name="_Toc19360"/>
            <w:bookmarkStart w:id="265" w:name="_Toc30660"/>
            <w:r>
              <w:rPr>
                <w:rFonts w:hint="eastAsia" w:ascii="宋体"/>
                <w:color w:val="000000"/>
                <w:sz w:val="24"/>
              </w:rPr>
              <w:t>注册资金</w:t>
            </w:r>
            <w:bookmarkEnd w:id="264"/>
            <w:bookmarkEnd w:id="265"/>
          </w:p>
        </w:tc>
        <w:tc>
          <w:tcPr>
            <w:tcW w:w="2659" w:type="dxa"/>
            <w:gridSpan w:val="2"/>
            <w:vAlign w:val="center"/>
          </w:tcPr>
          <w:p>
            <w:pPr>
              <w:widowControl/>
              <w:spacing w:before="159" w:beforeLines="50" w:after="159" w:afterLines="50"/>
              <w:jc w:val="center"/>
              <w:rPr>
                <w:rFonts w:ascii="宋体"/>
                <w:color w:val="000000"/>
                <w:sz w:val="24"/>
              </w:rPr>
            </w:pPr>
          </w:p>
        </w:tc>
        <w:tc>
          <w:tcPr>
            <w:tcW w:w="1511" w:type="dxa"/>
            <w:vMerge w:val="continue"/>
            <w:vAlign w:val="center"/>
          </w:tcPr>
          <w:p>
            <w:pPr>
              <w:spacing w:before="159" w:beforeLines="50" w:after="159" w:afterLines="50"/>
              <w:jc w:val="center"/>
              <w:rPr>
                <w:color w:val="000000"/>
              </w:rPr>
            </w:pPr>
          </w:p>
        </w:tc>
        <w:tc>
          <w:tcPr>
            <w:tcW w:w="1788" w:type="dxa"/>
            <w:gridSpan w:val="2"/>
            <w:vAlign w:val="center"/>
          </w:tcPr>
          <w:p>
            <w:pPr>
              <w:widowControl/>
              <w:spacing w:before="159" w:beforeLines="50" w:after="159" w:afterLines="50"/>
              <w:jc w:val="center"/>
              <w:rPr>
                <w:rFonts w:ascii="宋体"/>
                <w:color w:val="000000"/>
                <w:sz w:val="24"/>
              </w:rPr>
            </w:pPr>
            <w:bookmarkStart w:id="266" w:name="_Toc13165"/>
            <w:bookmarkStart w:id="267" w:name="_Toc14426"/>
            <w:r>
              <w:rPr>
                <w:rFonts w:hint="eastAsia" w:ascii="宋体"/>
                <w:color w:val="000000"/>
                <w:sz w:val="24"/>
              </w:rPr>
              <w:t>中级职称人员</w:t>
            </w:r>
            <w:bookmarkEnd w:id="266"/>
            <w:bookmarkEnd w:id="267"/>
          </w:p>
        </w:tc>
        <w:tc>
          <w:tcPr>
            <w:tcW w:w="1762" w:type="dxa"/>
            <w:gridSpan w:val="2"/>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68" w:name="_Toc28408"/>
            <w:bookmarkStart w:id="269" w:name="_Toc14589"/>
            <w:r>
              <w:rPr>
                <w:rFonts w:hint="eastAsia" w:ascii="宋体"/>
                <w:color w:val="000000"/>
                <w:sz w:val="24"/>
              </w:rPr>
              <w:t>开户银行</w:t>
            </w:r>
            <w:bookmarkEnd w:id="268"/>
            <w:bookmarkEnd w:id="269"/>
          </w:p>
        </w:tc>
        <w:tc>
          <w:tcPr>
            <w:tcW w:w="2659" w:type="dxa"/>
            <w:gridSpan w:val="2"/>
            <w:vAlign w:val="center"/>
          </w:tcPr>
          <w:p>
            <w:pPr>
              <w:widowControl/>
              <w:spacing w:before="159" w:beforeLines="50" w:after="159" w:afterLines="50"/>
              <w:jc w:val="center"/>
              <w:rPr>
                <w:rFonts w:ascii="宋体"/>
                <w:color w:val="000000"/>
                <w:sz w:val="24"/>
              </w:rPr>
            </w:pPr>
          </w:p>
        </w:tc>
        <w:tc>
          <w:tcPr>
            <w:tcW w:w="1511" w:type="dxa"/>
            <w:vMerge w:val="continue"/>
            <w:vAlign w:val="center"/>
          </w:tcPr>
          <w:p>
            <w:pPr>
              <w:spacing w:before="159" w:beforeLines="50" w:after="159" w:afterLines="50"/>
              <w:jc w:val="center"/>
              <w:rPr>
                <w:color w:val="000000"/>
              </w:rPr>
            </w:pPr>
          </w:p>
        </w:tc>
        <w:tc>
          <w:tcPr>
            <w:tcW w:w="1788" w:type="dxa"/>
            <w:gridSpan w:val="2"/>
            <w:vAlign w:val="center"/>
          </w:tcPr>
          <w:p>
            <w:pPr>
              <w:widowControl/>
              <w:spacing w:before="159" w:beforeLines="50" w:after="159" w:afterLines="50"/>
              <w:jc w:val="center"/>
              <w:rPr>
                <w:rFonts w:ascii="宋体"/>
                <w:color w:val="000000"/>
                <w:sz w:val="24"/>
              </w:rPr>
            </w:pPr>
            <w:bookmarkStart w:id="270" w:name="_Toc4690"/>
            <w:bookmarkStart w:id="271" w:name="_Toc6450"/>
            <w:r>
              <w:rPr>
                <w:rFonts w:hint="eastAsia" w:ascii="宋体"/>
                <w:color w:val="000000"/>
                <w:sz w:val="24"/>
              </w:rPr>
              <w:t>初级职称人员</w:t>
            </w:r>
            <w:bookmarkEnd w:id="270"/>
            <w:bookmarkEnd w:id="271"/>
          </w:p>
        </w:tc>
        <w:tc>
          <w:tcPr>
            <w:tcW w:w="1762" w:type="dxa"/>
            <w:gridSpan w:val="2"/>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72" w:name="_Toc8932"/>
            <w:bookmarkStart w:id="273" w:name="_Toc19783"/>
            <w:r>
              <w:rPr>
                <w:rFonts w:hint="eastAsia" w:ascii="宋体"/>
                <w:color w:val="000000"/>
                <w:sz w:val="24"/>
              </w:rPr>
              <w:t>账号</w:t>
            </w:r>
            <w:bookmarkEnd w:id="272"/>
            <w:bookmarkEnd w:id="273"/>
          </w:p>
        </w:tc>
        <w:tc>
          <w:tcPr>
            <w:tcW w:w="2659" w:type="dxa"/>
            <w:gridSpan w:val="2"/>
            <w:vAlign w:val="center"/>
          </w:tcPr>
          <w:p>
            <w:pPr>
              <w:widowControl/>
              <w:spacing w:before="159" w:beforeLines="50" w:after="159" w:afterLines="50"/>
              <w:jc w:val="center"/>
              <w:rPr>
                <w:rFonts w:ascii="宋体"/>
                <w:color w:val="000000"/>
                <w:sz w:val="24"/>
              </w:rPr>
            </w:pPr>
          </w:p>
        </w:tc>
        <w:tc>
          <w:tcPr>
            <w:tcW w:w="1511" w:type="dxa"/>
            <w:vMerge w:val="continue"/>
            <w:vAlign w:val="center"/>
          </w:tcPr>
          <w:p>
            <w:pPr>
              <w:spacing w:before="159" w:beforeLines="50" w:after="159" w:afterLines="50"/>
              <w:jc w:val="center"/>
              <w:rPr>
                <w:color w:val="000000"/>
              </w:rPr>
            </w:pPr>
          </w:p>
        </w:tc>
        <w:tc>
          <w:tcPr>
            <w:tcW w:w="1788" w:type="dxa"/>
            <w:gridSpan w:val="2"/>
            <w:vAlign w:val="center"/>
          </w:tcPr>
          <w:p>
            <w:pPr>
              <w:widowControl/>
              <w:spacing w:before="159" w:beforeLines="50" w:after="159" w:afterLines="50"/>
              <w:jc w:val="center"/>
              <w:rPr>
                <w:rFonts w:ascii="宋体"/>
                <w:color w:val="000000"/>
                <w:sz w:val="24"/>
              </w:rPr>
            </w:pPr>
            <w:bookmarkStart w:id="274" w:name="_Toc20448"/>
            <w:bookmarkStart w:id="275" w:name="_Toc32123"/>
            <w:r>
              <w:rPr>
                <w:rFonts w:hint="eastAsia" w:ascii="宋体"/>
                <w:color w:val="000000"/>
                <w:sz w:val="24"/>
              </w:rPr>
              <w:t>技工</w:t>
            </w:r>
            <w:bookmarkEnd w:id="274"/>
            <w:bookmarkEnd w:id="275"/>
          </w:p>
        </w:tc>
        <w:tc>
          <w:tcPr>
            <w:tcW w:w="1762" w:type="dxa"/>
            <w:gridSpan w:val="2"/>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76" w:name="_Toc26586"/>
            <w:bookmarkStart w:id="277" w:name="_Toc292"/>
            <w:r>
              <w:rPr>
                <w:rFonts w:hint="eastAsia" w:ascii="宋体"/>
                <w:color w:val="000000"/>
                <w:sz w:val="24"/>
              </w:rPr>
              <w:t>经营范围</w:t>
            </w:r>
            <w:bookmarkEnd w:id="276"/>
            <w:bookmarkEnd w:id="277"/>
          </w:p>
        </w:tc>
        <w:tc>
          <w:tcPr>
            <w:tcW w:w="7720" w:type="dxa"/>
            <w:gridSpan w:val="7"/>
            <w:vAlign w:val="center"/>
          </w:tcPr>
          <w:p>
            <w:pPr>
              <w:widowControl/>
              <w:spacing w:before="159" w:beforeLines="50" w:after="159" w:afterLines="50"/>
              <w:jc w:val="center"/>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4" w:type="dxa"/>
            <w:vAlign w:val="center"/>
          </w:tcPr>
          <w:p>
            <w:pPr>
              <w:widowControl/>
              <w:spacing w:before="159" w:beforeLines="50" w:after="159" w:afterLines="50"/>
              <w:jc w:val="center"/>
              <w:rPr>
                <w:rFonts w:ascii="宋体"/>
                <w:color w:val="000000"/>
                <w:sz w:val="24"/>
              </w:rPr>
            </w:pPr>
            <w:bookmarkStart w:id="278" w:name="_Toc16738"/>
            <w:bookmarkStart w:id="279" w:name="_Toc7485"/>
            <w:r>
              <w:rPr>
                <w:rFonts w:hint="eastAsia" w:ascii="宋体"/>
                <w:color w:val="000000"/>
                <w:sz w:val="24"/>
              </w:rPr>
              <w:t>备注</w:t>
            </w:r>
            <w:bookmarkEnd w:id="278"/>
            <w:bookmarkEnd w:id="279"/>
          </w:p>
        </w:tc>
        <w:tc>
          <w:tcPr>
            <w:tcW w:w="7720" w:type="dxa"/>
            <w:gridSpan w:val="7"/>
            <w:vAlign w:val="center"/>
          </w:tcPr>
          <w:p>
            <w:pPr>
              <w:widowControl/>
              <w:spacing w:before="159" w:beforeLines="50" w:after="159" w:afterLines="50"/>
              <w:jc w:val="center"/>
              <w:rPr>
                <w:rFonts w:ascii="宋体"/>
                <w:color w:val="000000"/>
                <w:sz w:val="24"/>
              </w:rPr>
            </w:pPr>
          </w:p>
        </w:tc>
      </w:tr>
    </w:tbl>
    <w:p>
      <w:pPr>
        <w:rPr>
          <w:rFonts w:ascii="宋体" w:hAnsi="宋体" w:cs="宋体"/>
          <w:color w:val="000000"/>
          <w:sz w:val="24"/>
        </w:rPr>
      </w:pPr>
      <w:r>
        <w:rPr>
          <w:rFonts w:hint="eastAsia" w:ascii="宋体" w:hAnsi="宋体" w:cs="宋体"/>
          <w:color w:val="000000"/>
          <w:sz w:val="24"/>
        </w:rPr>
        <w:t xml:space="preserve">  </w:t>
      </w:r>
    </w:p>
    <w:p>
      <w:pPr>
        <w:rPr>
          <w:rFonts w:ascii="宋体" w:hAnsi="宋体" w:cs="宋体"/>
          <w:color w:val="000000"/>
          <w:sz w:val="24"/>
        </w:rPr>
      </w:pPr>
    </w:p>
    <w:p>
      <w:pPr>
        <w:pStyle w:val="21"/>
        <w:rPr>
          <w:rFonts w:ascii="宋体" w:hAnsi="宋体" w:cs="宋体"/>
          <w:color w:val="000000"/>
          <w:sz w:val="24"/>
        </w:rPr>
      </w:pPr>
    </w:p>
    <w:p>
      <w:pPr>
        <w:ind w:firstLine="420"/>
        <w:rPr>
          <w:rFonts w:ascii="宋体" w:hAnsi="宋体" w:cs="宋体"/>
          <w:color w:val="000000"/>
        </w:rPr>
      </w:pPr>
      <w:r>
        <w:rPr>
          <w:rFonts w:hint="eastAsia" w:ascii="宋体" w:hAnsi="宋体" w:cs="宋体"/>
          <w:color w:val="000000"/>
        </w:rPr>
        <w:t>注</w:t>
      </w:r>
      <w:r>
        <w:rPr>
          <w:rFonts w:ascii="宋体" w:hAnsi="宋体" w:cs="宋体"/>
          <w:color w:val="000000"/>
        </w:rPr>
        <w:t xml:space="preserve"> </w:t>
      </w: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投标人根据自身实际情况填写</w:t>
      </w:r>
      <w:r>
        <w:rPr>
          <w:rFonts w:ascii="宋体" w:hAnsi="宋体" w:cs="宋体"/>
          <w:color w:val="000000"/>
        </w:rPr>
        <w:t xml:space="preserve"> </w:t>
      </w: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对不涉及的内容可填写</w:t>
      </w:r>
      <w:r>
        <w:rPr>
          <w:rFonts w:ascii="宋体" w:hAnsi="宋体" w:cs="宋体"/>
          <w:color w:val="000000"/>
        </w:rPr>
        <w:t xml:space="preserve"> </w:t>
      </w: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不影响投标资质及效力。</w:t>
      </w:r>
    </w:p>
    <w:p>
      <w:pPr>
        <w:rPr>
          <w:rFonts w:ascii="宋体" w:hAnsi="宋体" w:cs="宋体"/>
          <w:color w:val="000000"/>
          <w:sz w:val="24"/>
        </w:rPr>
      </w:pPr>
    </w:p>
    <w:p>
      <w:pPr>
        <w:spacing w:line="360" w:lineRule="auto"/>
        <w:ind w:firstLine="480" w:firstLineChars="200"/>
        <w:jc w:val="left"/>
        <w:rPr>
          <w:rFonts w:ascii="宋体" w:hAnsi="宋体"/>
          <w:color w:val="000000"/>
          <w:sz w:val="24"/>
        </w:rPr>
      </w:pPr>
      <w:bookmarkStart w:id="280" w:name="_Toc15500"/>
      <w:bookmarkStart w:id="281" w:name="_Toc217446089"/>
      <w:bookmarkStart w:id="282" w:name="_Toc421005898"/>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法定代表人/单位负责人/授权代表</w:t>
      </w:r>
      <w:r>
        <w:rPr>
          <w:rFonts w:hint="eastAsia" w:ascii="宋体" w:hAnsi="宋体" w:cs="宋体"/>
          <w:color w:val="000000"/>
          <w:sz w:val="24"/>
        </w:rPr>
        <w:t>（签字或加盖个人名章）</w:t>
      </w:r>
      <w:r>
        <w:rPr>
          <w:rFonts w:hint="eastAsia"/>
          <w:color w:val="000000"/>
          <w:sz w:val="24"/>
        </w:rPr>
        <w:t>：</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日      期：</w:t>
      </w:r>
      <w:r>
        <w:rPr>
          <w:rFonts w:hint="eastAsia" w:ascii="宋体" w:hAnsi="宋体"/>
          <w:color w:val="000000"/>
          <w:sz w:val="24"/>
          <w:u w:val="single"/>
        </w:rPr>
        <w:t xml:space="preserve">      </w:t>
      </w:r>
      <w:r>
        <w:rPr>
          <w:rFonts w:hint="eastAsia"/>
          <w:color w:val="000000"/>
          <w:sz w:val="24"/>
        </w:rPr>
        <w:t>年</w:t>
      </w:r>
      <w:r>
        <w:rPr>
          <w:rFonts w:hint="eastAsia" w:ascii="宋体" w:hAnsi="宋体"/>
          <w:color w:val="000000"/>
          <w:sz w:val="24"/>
          <w:u w:val="single"/>
        </w:rPr>
        <w:t xml:space="preserve">   </w:t>
      </w:r>
      <w:r>
        <w:rPr>
          <w:rFonts w:hint="eastAsia"/>
          <w:color w:val="000000"/>
          <w:sz w:val="24"/>
        </w:rPr>
        <w:t>月</w:t>
      </w:r>
      <w:r>
        <w:rPr>
          <w:rFonts w:hint="eastAsia" w:ascii="宋体" w:hAnsi="宋体"/>
          <w:color w:val="000000"/>
          <w:sz w:val="24"/>
          <w:u w:val="single"/>
        </w:rPr>
        <w:t xml:space="preserve">   </w:t>
      </w:r>
      <w:r>
        <w:rPr>
          <w:rFonts w:hint="eastAsia"/>
          <w:color w:val="000000"/>
          <w:sz w:val="24"/>
        </w:rPr>
        <w:t xml:space="preserve">日 </w:t>
      </w:r>
    </w:p>
    <w:p>
      <w:pPr>
        <w:spacing w:line="360" w:lineRule="auto"/>
        <w:jc w:val="center"/>
        <w:outlineLvl w:val="2"/>
        <w:rPr>
          <w:b/>
          <w:color w:val="000000"/>
          <w:sz w:val="32"/>
          <w:szCs w:val="32"/>
        </w:rPr>
      </w:pPr>
      <w:r>
        <w:rPr>
          <w:rFonts w:ascii="宋体" w:cs="Arial"/>
          <w:bCs/>
          <w:color w:val="000000"/>
          <w:sz w:val="28"/>
          <w:szCs w:val="28"/>
        </w:rPr>
        <w:br w:type="page"/>
      </w:r>
      <w:bookmarkEnd w:id="280"/>
      <w:bookmarkEnd w:id="281"/>
      <w:bookmarkEnd w:id="282"/>
      <w:bookmarkStart w:id="283" w:name="_Toc23256"/>
      <w:bookmarkStart w:id="284" w:name="_Toc29588"/>
      <w:bookmarkStart w:id="285" w:name="_Toc217446091"/>
      <w:bookmarkStart w:id="286" w:name="_Toc22852"/>
      <w:bookmarkStart w:id="287" w:name="_Toc421005900"/>
      <w:r>
        <w:rPr>
          <w:rFonts w:hint="eastAsia"/>
          <w:b/>
          <w:color w:val="000000"/>
          <w:sz w:val="32"/>
          <w:szCs w:val="32"/>
        </w:rPr>
        <w:t>五、服务应答表</w:t>
      </w:r>
      <w:bookmarkEnd w:id="283"/>
      <w:bookmarkEnd w:id="284"/>
    </w:p>
    <w:p>
      <w:pPr>
        <w:pStyle w:val="21"/>
        <w:rPr>
          <w:color w:val="000000"/>
        </w:rPr>
      </w:pPr>
    </w:p>
    <w:tbl>
      <w:tblPr>
        <w:tblStyle w:val="47"/>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810"/>
        <w:gridCol w:w="3035"/>
        <w:gridCol w:w="293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99" w:type="dxa"/>
            <w:vAlign w:val="center"/>
          </w:tcPr>
          <w:p>
            <w:pPr>
              <w:spacing w:line="400" w:lineRule="exact"/>
              <w:jc w:val="center"/>
              <w:rPr>
                <w:rFonts w:ascii="宋体" w:hAnsi="宋体"/>
                <w:b/>
                <w:color w:val="000000"/>
                <w:sz w:val="24"/>
              </w:rPr>
            </w:pPr>
            <w:r>
              <w:rPr>
                <w:rFonts w:hint="eastAsia" w:ascii="宋体" w:hAnsi="宋体"/>
                <w:b/>
                <w:color w:val="000000"/>
                <w:sz w:val="24"/>
              </w:rPr>
              <w:t>序号</w:t>
            </w:r>
          </w:p>
        </w:tc>
        <w:tc>
          <w:tcPr>
            <w:tcW w:w="2810" w:type="dxa"/>
            <w:vAlign w:val="center"/>
          </w:tcPr>
          <w:p>
            <w:pPr>
              <w:spacing w:line="400" w:lineRule="exact"/>
              <w:jc w:val="center"/>
              <w:rPr>
                <w:rFonts w:ascii="宋体" w:hAnsi="宋体"/>
                <w:b/>
                <w:color w:val="000000"/>
                <w:sz w:val="24"/>
              </w:rPr>
            </w:pPr>
            <w:r>
              <w:rPr>
                <w:rFonts w:hint="eastAsia" w:ascii="宋体" w:hAnsi="宋体"/>
                <w:b/>
                <w:color w:val="000000"/>
                <w:sz w:val="24"/>
              </w:rPr>
              <w:t>招标文件服务要求</w:t>
            </w:r>
          </w:p>
        </w:tc>
        <w:tc>
          <w:tcPr>
            <w:tcW w:w="3035" w:type="dxa"/>
            <w:vAlign w:val="center"/>
          </w:tcPr>
          <w:p>
            <w:pPr>
              <w:spacing w:line="400" w:lineRule="exact"/>
              <w:jc w:val="center"/>
              <w:rPr>
                <w:rFonts w:ascii="宋体" w:hAnsi="宋体"/>
                <w:b/>
                <w:color w:val="000000"/>
                <w:sz w:val="24"/>
              </w:rPr>
            </w:pPr>
            <w:r>
              <w:rPr>
                <w:rFonts w:hint="eastAsia" w:ascii="宋体" w:hAnsi="宋体"/>
                <w:b/>
                <w:color w:val="000000"/>
                <w:sz w:val="24"/>
              </w:rPr>
              <w:t>投标人应答</w:t>
            </w:r>
          </w:p>
        </w:tc>
        <w:tc>
          <w:tcPr>
            <w:tcW w:w="2930" w:type="dxa"/>
            <w:vAlign w:val="center"/>
          </w:tcPr>
          <w:p>
            <w:pPr>
              <w:spacing w:line="400" w:lineRule="exact"/>
              <w:jc w:val="center"/>
              <w:rPr>
                <w:rFonts w:ascii="宋体" w:hAnsi="宋体"/>
                <w:b/>
                <w:color w:val="000000"/>
                <w:sz w:val="24"/>
              </w:rPr>
            </w:pPr>
            <w:r>
              <w:rPr>
                <w:rFonts w:hint="eastAsia" w:ascii="宋体" w:hAnsi="宋体"/>
                <w:b/>
                <w:color w:val="000000"/>
                <w:sz w:val="24"/>
              </w:rPr>
              <w:t>偏离及其影响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99" w:type="dxa"/>
          </w:tcPr>
          <w:p>
            <w:pPr>
              <w:spacing w:line="400" w:lineRule="exact"/>
              <w:jc w:val="center"/>
              <w:rPr>
                <w:rFonts w:ascii="宋体" w:hAnsi="宋体"/>
                <w:color w:val="000000"/>
                <w:sz w:val="28"/>
              </w:rPr>
            </w:pPr>
          </w:p>
        </w:tc>
        <w:tc>
          <w:tcPr>
            <w:tcW w:w="2810" w:type="dxa"/>
          </w:tcPr>
          <w:p>
            <w:pPr>
              <w:spacing w:line="400" w:lineRule="exact"/>
              <w:jc w:val="center"/>
              <w:rPr>
                <w:rFonts w:ascii="宋体" w:hAnsi="宋体"/>
                <w:color w:val="000000"/>
                <w:sz w:val="32"/>
              </w:rPr>
            </w:pPr>
          </w:p>
        </w:tc>
        <w:tc>
          <w:tcPr>
            <w:tcW w:w="3035" w:type="dxa"/>
          </w:tcPr>
          <w:p>
            <w:pPr>
              <w:spacing w:line="400" w:lineRule="exact"/>
              <w:jc w:val="center"/>
              <w:rPr>
                <w:rFonts w:ascii="宋体" w:hAnsi="宋体"/>
                <w:color w:val="000000"/>
                <w:sz w:val="32"/>
              </w:rPr>
            </w:pPr>
          </w:p>
        </w:tc>
        <w:tc>
          <w:tcPr>
            <w:tcW w:w="2930" w:type="dxa"/>
          </w:tcPr>
          <w:p>
            <w:pPr>
              <w:spacing w:line="400" w:lineRule="exact"/>
              <w:jc w:val="center"/>
              <w:rPr>
                <w:rFonts w:ascii="宋体" w:hAnsi="宋体"/>
                <w:color w:val="000000"/>
                <w:sz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99" w:type="dxa"/>
          </w:tcPr>
          <w:p>
            <w:pPr>
              <w:spacing w:line="400" w:lineRule="exact"/>
              <w:jc w:val="center"/>
              <w:rPr>
                <w:rFonts w:ascii="宋体" w:hAnsi="宋体"/>
                <w:color w:val="000000"/>
                <w:sz w:val="32"/>
              </w:rPr>
            </w:pPr>
          </w:p>
        </w:tc>
        <w:tc>
          <w:tcPr>
            <w:tcW w:w="2810" w:type="dxa"/>
          </w:tcPr>
          <w:p>
            <w:pPr>
              <w:spacing w:line="400" w:lineRule="exact"/>
              <w:jc w:val="center"/>
              <w:rPr>
                <w:rFonts w:ascii="宋体" w:hAnsi="宋体"/>
                <w:color w:val="000000"/>
                <w:sz w:val="32"/>
              </w:rPr>
            </w:pPr>
          </w:p>
        </w:tc>
        <w:tc>
          <w:tcPr>
            <w:tcW w:w="3035" w:type="dxa"/>
          </w:tcPr>
          <w:p>
            <w:pPr>
              <w:spacing w:line="400" w:lineRule="exact"/>
              <w:jc w:val="center"/>
              <w:rPr>
                <w:rFonts w:ascii="宋体" w:hAnsi="宋体"/>
                <w:color w:val="000000"/>
                <w:sz w:val="32"/>
              </w:rPr>
            </w:pPr>
          </w:p>
        </w:tc>
        <w:tc>
          <w:tcPr>
            <w:tcW w:w="2930" w:type="dxa"/>
          </w:tcPr>
          <w:p>
            <w:pPr>
              <w:spacing w:line="400" w:lineRule="exact"/>
              <w:jc w:val="center"/>
              <w:rPr>
                <w:rFonts w:ascii="宋体" w:hAnsi="宋体"/>
                <w:color w:val="000000"/>
                <w:sz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99" w:type="dxa"/>
          </w:tcPr>
          <w:p>
            <w:pPr>
              <w:spacing w:line="400" w:lineRule="exact"/>
              <w:jc w:val="center"/>
              <w:rPr>
                <w:rFonts w:ascii="宋体" w:hAnsi="宋体"/>
                <w:color w:val="000000"/>
                <w:sz w:val="32"/>
              </w:rPr>
            </w:pPr>
          </w:p>
        </w:tc>
        <w:tc>
          <w:tcPr>
            <w:tcW w:w="2810" w:type="dxa"/>
          </w:tcPr>
          <w:p>
            <w:pPr>
              <w:spacing w:line="400" w:lineRule="exact"/>
              <w:jc w:val="center"/>
              <w:rPr>
                <w:rFonts w:ascii="宋体" w:hAnsi="宋体"/>
                <w:color w:val="000000"/>
                <w:sz w:val="32"/>
              </w:rPr>
            </w:pPr>
          </w:p>
        </w:tc>
        <w:tc>
          <w:tcPr>
            <w:tcW w:w="3035" w:type="dxa"/>
          </w:tcPr>
          <w:p>
            <w:pPr>
              <w:spacing w:line="400" w:lineRule="exact"/>
              <w:jc w:val="center"/>
              <w:rPr>
                <w:rFonts w:ascii="宋体" w:hAnsi="宋体"/>
                <w:color w:val="000000"/>
                <w:sz w:val="32"/>
              </w:rPr>
            </w:pPr>
          </w:p>
        </w:tc>
        <w:tc>
          <w:tcPr>
            <w:tcW w:w="2930" w:type="dxa"/>
          </w:tcPr>
          <w:p>
            <w:pPr>
              <w:spacing w:line="400" w:lineRule="exact"/>
              <w:jc w:val="center"/>
              <w:rPr>
                <w:rFonts w:ascii="宋体" w:hAnsi="宋体"/>
                <w:color w:val="000000"/>
                <w:sz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99" w:type="dxa"/>
          </w:tcPr>
          <w:p>
            <w:pPr>
              <w:spacing w:line="400" w:lineRule="exact"/>
              <w:jc w:val="center"/>
              <w:rPr>
                <w:rFonts w:ascii="宋体" w:hAnsi="宋体"/>
                <w:color w:val="000000"/>
                <w:sz w:val="32"/>
              </w:rPr>
            </w:pPr>
          </w:p>
        </w:tc>
        <w:tc>
          <w:tcPr>
            <w:tcW w:w="2810" w:type="dxa"/>
          </w:tcPr>
          <w:p>
            <w:pPr>
              <w:spacing w:line="400" w:lineRule="exact"/>
              <w:jc w:val="center"/>
              <w:rPr>
                <w:rFonts w:ascii="宋体" w:hAnsi="宋体"/>
                <w:color w:val="000000"/>
                <w:sz w:val="32"/>
              </w:rPr>
            </w:pPr>
          </w:p>
        </w:tc>
        <w:tc>
          <w:tcPr>
            <w:tcW w:w="3035" w:type="dxa"/>
          </w:tcPr>
          <w:p>
            <w:pPr>
              <w:spacing w:line="400" w:lineRule="exact"/>
              <w:jc w:val="center"/>
              <w:rPr>
                <w:rFonts w:ascii="宋体" w:hAnsi="宋体"/>
                <w:color w:val="000000"/>
                <w:sz w:val="32"/>
              </w:rPr>
            </w:pPr>
          </w:p>
        </w:tc>
        <w:tc>
          <w:tcPr>
            <w:tcW w:w="2930" w:type="dxa"/>
          </w:tcPr>
          <w:p>
            <w:pPr>
              <w:spacing w:line="400" w:lineRule="exact"/>
              <w:jc w:val="center"/>
              <w:rPr>
                <w:rFonts w:ascii="宋体" w:hAnsi="宋体"/>
                <w:color w:val="000000"/>
                <w:sz w:val="32"/>
              </w:rPr>
            </w:pPr>
          </w:p>
        </w:tc>
      </w:tr>
    </w:tbl>
    <w:p>
      <w:pPr>
        <w:pStyle w:val="215"/>
        <w:ind w:firstLine="480" w:firstLineChars="200"/>
        <w:rPr>
          <w:color w:val="000000"/>
        </w:rPr>
      </w:pPr>
      <w:r>
        <w:rPr>
          <w:rFonts w:hint="eastAsia"/>
          <w:color w:val="000000"/>
        </w:rPr>
        <w:t xml:space="preserve">                                    </w:t>
      </w:r>
      <w:r>
        <w:rPr>
          <w:rFonts w:hint="eastAsia" w:hAnsi="宋体"/>
          <w:color w:val="000000"/>
        </w:rPr>
        <w:t xml:space="preserve"> </w:t>
      </w:r>
    </w:p>
    <w:p>
      <w:pPr>
        <w:spacing w:line="360" w:lineRule="auto"/>
        <w:ind w:firstLine="420" w:firstLineChars="200"/>
        <w:rPr>
          <w:rFonts w:ascii="宋体" w:hAnsi="宋体"/>
          <w:color w:val="000000"/>
        </w:rPr>
      </w:pPr>
      <w:bookmarkStart w:id="288" w:name="_Toc22370"/>
      <w:r>
        <w:rPr>
          <w:rFonts w:hint="eastAsia" w:ascii="宋体" w:hAnsi="宋体"/>
          <w:color w:val="000000"/>
        </w:rPr>
        <w:t>注：</w:t>
      </w:r>
      <w:r>
        <w:rPr>
          <w:rFonts w:ascii="宋体" w:hAnsi="宋体"/>
          <w:color w:val="000000"/>
        </w:rPr>
        <w:t>1.本表只填写投标文件中与招标文件有偏离（包括正偏离和负偏离）的内容，投标文件中商务响应与招标文件要求完全一致的，不用在此表中列出。</w:t>
      </w:r>
    </w:p>
    <w:p>
      <w:pPr>
        <w:spacing w:line="360" w:lineRule="auto"/>
        <w:ind w:firstLine="420" w:firstLineChars="200"/>
        <w:rPr>
          <w:rFonts w:ascii="宋体" w:hAnsi="宋体"/>
          <w:color w:val="000000"/>
        </w:rPr>
      </w:pPr>
      <w:r>
        <w:rPr>
          <w:rFonts w:ascii="宋体" w:hAnsi="宋体"/>
          <w:color w:val="000000"/>
        </w:rPr>
        <w:t>2．投标人必须据实填写，不得虚假响应，否则将取消其投标或中标资格，并按有关规定进行处罚。</w:t>
      </w:r>
    </w:p>
    <w:p>
      <w:pPr>
        <w:spacing w:line="360" w:lineRule="auto"/>
        <w:rPr>
          <w:rFonts w:ascii="宋体" w:hAnsi="宋体" w:cs="宋体"/>
          <w:color w:val="000000"/>
          <w:sz w:val="24"/>
        </w:rPr>
      </w:pPr>
    </w:p>
    <w:bookmarkEnd w:id="288"/>
    <w:p>
      <w:pPr>
        <w:spacing w:line="360" w:lineRule="auto"/>
        <w:rPr>
          <w:rFonts w:ascii="宋体" w:hAnsi="宋体" w:cs="宋体"/>
          <w:color w:val="000000"/>
          <w:sz w:val="24"/>
        </w:rPr>
      </w:pPr>
      <w:r>
        <w:rPr>
          <w:rFonts w:hint="eastAsia" w:ascii="宋体" w:hAnsi="宋体" w:cs="宋体"/>
          <w:color w:val="000000"/>
          <w:sz w:val="24"/>
        </w:rPr>
        <w:t xml:space="preserve">  </w:t>
      </w:r>
    </w:p>
    <w:p>
      <w:pPr>
        <w:jc w:val="center"/>
        <w:rPr>
          <w:rFonts w:ascii="宋体" w:hAnsi="宋体"/>
          <w:b/>
          <w:bCs/>
          <w:color w:val="000000"/>
          <w:kern w:val="0"/>
          <w:sz w:val="28"/>
          <w:szCs w:val="28"/>
        </w:rPr>
      </w:pPr>
    </w:p>
    <w:p>
      <w:pPr>
        <w:spacing w:line="360" w:lineRule="auto"/>
        <w:ind w:firstLine="480" w:firstLineChars="200"/>
        <w:jc w:val="left"/>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法定代表人/单位负责人/授权代表</w:t>
      </w:r>
      <w:r>
        <w:rPr>
          <w:rFonts w:hint="eastAsia" w:ascii="宋体" w:hAnsi="宋体" w:cs="宋体"/>
          <w:color w:val="000000"/>
          <w:sz w:val="24"/>
        </w:rPr>
        <w:t>（签字或加盖个人名章）</w:t>
      </w:r>
      <w:r>
        <w:rPr>
          <w:rFonts w:hint="eastAsia"/>
          <w:color w:val="000000"/>
          <w:sz w:val="24"/>
        </w:rPr>
        <w:t>：</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日      期：</w:t>
      </w:r>
      <w:r>
        <w:rPr>
          <w:rFonts w:hint="eastAsia" w:ascii="宋体" w:hAnsi="宋体"/>
          <w:color w:val="000000"/>
          <w:sz w:val="24"/>
          <w:u w:val="single"/>
        </w:rPr>
        <w:t xml:space="preserve">      </w:t>
      </w:r>
      <w:r>
        <w:rPr>
          <w:rFonts w:hint="eastAsia"/>
          <w:color w:val="000000"/>
          <w:sz w:val="24"/>
        </w:rPr>
        <w:t>年</w:t>
      </w:r>
      <w:r>
        <w:rPr>
          <w:rFonts w:hint="eastAsia" w:ascii="宋体" w:hAnsi="宋体"/>
          <w:color w:val="000000"/>
          <w:sz w:val="24"/>
          <w:u w:val="single"/>
        </w:rPr>
        <w:t xml:space="preserve">   </w:t>
      </w:r>
      <w:r>
        <w:rPr>
          <w:rFonts w:hint="eastAsia"/>
          <w:color w:val="000000"/>
          <w:sz w:val="24"/>
        </w:rPr>
        <w:t>月</w:t>
      </w:r>
      <w:r>
        <w:rPr>
          <w:rFonts w:hint="eastAsia" w:ascii="宋体" w:hAnsi="宋体"/>
          <w:color w:val="000000"/>
          <w:sz w:val="24"/>
          <w:u w:val="single"/>
        </w:rPr>
        <w:t xml:space="preserve">   </w:t>
      </w:r>
      <w:r>
        <w:rPr>
          <w:rFonts w:hint="eastAsia"/>
          <w:color w:val="000000"/>
          <w:sz w:val="24"/>
        </w:rPr>
        <w:t xml:space="preserve">日 </w:t>
      </w:r>
    </w:p>
    <w:p>
      <w:pPr>
        <w:spacing w:line="360" w:lineRule="auto"/>
        <w:jc w:val="center"/>
        <w:outlineLvl w:val="2"/>
        <w:rPr>
          <w:b/>
          <w:color w:val="000000"/>
          <w:sz w:val="32"/>
          <w:szCs w:val="32"/>
        </w:rPr>
      </w:pPr>
      <w:r>
        <w:rPr>
          <w:rFonts w:ascii="宋体" w:hAnsi="宋体"/>
          <w:b/>
          <w:bCs/>
          <w:color w:val="000000"/>
          <w:kern w:val="0"/>
          <w:sz w:val="28"/>
          <w:szCs w:val="28"/>
        </w:rPr>
        <w:br w:type="page"/>
      </w:r>
      <w:bookmarkStart w:id="289" w:name="_Toc4078"/>
      <w:r>
        <w:rPr>
          <w:b/>
          <w:color w:val="000000"/>
          <w:sz w:val="32"/>
          <w:szCs w:val="32"/>
        </w:rPr>
        <w:t>六</w:t>
      </w:r>
      <w:r>
        <w:rPr>
          <w:rFonts w:hint="eastAsia"/>
          <w:b/>
          <w:color w:val="000000"/>
          <w:sz w:val="32"/>
          <w:szCs w:val="32"/>
        </w:rPr>
        <w:t>、投标人本项目管理、技术、服务人员情况表</w:t>
      </w:r>
      <w:bookmarkEnd w:id="285"/>
      <w:bookmarkEnd w:id="286"/>
      <w:bookmarkEnd w:id="287"/>
      <w:bookmarkEnd w:id="289"/>
      <w:r>
        <w:rPr>
          <w:rFonts w:hint="eastAsia"/>
          <w:b/>
          <w:color w:val="000000"/>
          <w:sz w:val="32"/>
          <w:szCs w:val="32"/>
        </w:rPr>
        <w:t xml:space="preserve">                                         </w:t>
      </w:r>
    </w:p>
    <w:tbl>
      <w:tblPr>
        <w:tblStyle w:val="4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794"/>
        <w:gridCol w:w="999"/>
        <w:gridCol w:w="999"/>
        <w:gridCol w:w="999"/>
        <w:gridCol w:w="1310"/>
        <w:gridCol w:w="913"/>
        <w:gridCol w:w="1043"/>
        <w:gridCol w:w="9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restart"/>
            <w:vAlign w:val="center"/>
          </w:tcPr>
          <w:p>
            <w:pPr>
              <w:jc w:val="center"/>
              <w:rPr>
                <w:rFonts w:ascii="宋体" w:hAnsi="宋体" w:cs="Arial"/>
                <w:b/>
                <w:color w:val="000000"/>
                <w:szCs w:val="21"/>
              </w:rPr>
            </w:pPr>
            <w:r>
              <w:rPr>
                <w:rFonts w:hint="eastAsia" w:ascii="宋体" w:hAnsi="宋体" w:cs="Arial"/>
                <w:b/>
                <w:color w:val="000000"/>
                <w:szCs w:val="21"/>
              </w:rPr>
              <w:t>类别</w:t>
            </w:r>
          </w:p>
        </w:tc>
        <w:tc>
          <w:tcPr>
            <w:tcW w:w="794" w:type="dxa"/>
            <w:vMerge w:val="restart"/>
            <w:vAlign w:val="center"/>
          </w:tcPr>
          <w:p>
            <w:pPr>
              <w:jc w:val="center"/>
              <w:rPr>
                <w:rFonts w:ascii="宋体" w:hAnsi="宋体" w:cs="Arial"/>
                <w:b/>
                <w:color w:val="000000"/>
                <w:szCs w:val="21"/>
              </w:rPr>
            </w:pPr>
            <w:r>
              <w:rPr>
                <w:rFonts w:hint="eastAsia" w:ascii="宋体" w:hAnsi="宋体" w:cs="Arial"/>
                <w:b/>
                <w:color w:val="000000"/>
                <w:szCs w:val="21"/>
              </w:rPr>
              <w:t>职务</w:t>
            </w:r>
          </w:p>
        </w:tc>
        <w:tc>
          <w:tcPr>
            <w:tcW w:w="999" w:type="dxa"/>
            <w:vMerge w:val="restart"/>
            <w:vAlign w:val="center"/>
          </w:tcPr>
          <w:p>
            <w:pPr>
              <w:jc w:val="center"/>
              <w:rPr>
                <w:rFonts w:ascii="宋体" w:hAnsi="宋体" w:cs="Arial"/>
                <w:b/>
                <w:color w:val="000000"/>
                <w:szCs w:val="21"/>
              </w:rPr>
            </w:pPr>
            <w:r>
              <w:rPr>
                <w:rFonts w:hint="eastAsia" w:ascii="宋体" w:hAnsi="宋体" w:cs="Arial"/>
                <w:b/>
                <w:color w:val="000000"/>
                <w:szCs w:val="21"/>
              </w:rPr>
              <w:t>姓名</w:t>
            </w:r>
          </w:p>
        </w:tc>
        <w:tc>
          <w:tcPr>
            <w:tcW w:w="999" w:type="dxa"/>
            <w:vMerge w:val="restart"/>
            <w:vAlign w:val="center"/>
          </w:tcPr>
          <w:p>
            <w:pPr>
              <w:jc w:val="center"/>
              <w:rPr>
                <w:rFonts w:ascii="宋体" w:hAnsi="宋体" w:cs="Arial"/>
                <w:b/>
                <w:color w:val="000000"/>
                <w:szCs w:val="21"/>
              </w:rPr>
            </w:pPr>
            <w:r>
              <w:rPr>
                <w:rFonts w:hint="eastAsia" w:ascii="宋体" w:hAnsi="宋体" w:cs="Arial"/>
                <w:b/>
                <w:color w:val="000000"/>
                <w:szCs w:val="21"/>
              </w:rPr>
              <w:t>职称</w:t>
            </w:r>
          </w:p>
        </w:tc>
        <w:tc>
          <w:tcPr>
            <w:tcW w:w="999" w:type="dxa"/>
            <w:vMerge w:val="restart"/>
            <w:vAlign w:val="center"/>
          </w:tcPr>
          <w:p>
            <w:pPr>
              <w:jc w:val="center"/>
              <w:rPr>
                <w:rFonts w:ascii="宋体" w:hAnsi="宋体" w:cs="Arial"/>
                <w:b/>
                <w:color w:val="000000"/>
                <w:szCs w:val="21"/>
              </w:rPr>
            </w:pPr>
            <w:r>
              <w:rPr>
                <w:rFonts w:hint="eastAsia" w:ascii="宋体" w:hAnsi="宋体" w:cs="Arial"/>
                <w:b/>
                <w:color w:val="000000"/>
                <w:szCs w:val="21"/>
              </w:rPr>
              <w:t>常住地</w:t>
            </w:r>
          </w:p>
        </w:tc>
        <w:tc>
          <w:tcPr>
            <w:tcW w:w="4175" w:type="dxa"/>
            <w:gridSpan w:val="4"/>
            <w:vAlign w:val="center"/>
          </w:tcPr>
          <w:p>
            <w:pPr>
              <w:jc w:val="center"/>
              <w:rPr>
                <w:rFonts w:ascii="宋体" w:hAnsi="宋体" w:cs="Arial"/>
                <w:b/>
                <w:color w:val="000000"/>
                <w:szCs w:val="21"/>
              </w:rPr>
            </w:pPr>
            <w:r>
              <w:rPr>
                <w:rFonts w:hint="eastAsia" w:ascii="宋体" w:hAnsi="宋体" w:cs="Arial"/>
                <w:b/>
                <w:color w:val="000000"/>
                <w:szCs w:val="21"/>
              </w:rPr>
              <w:t>资格证明（附复印件）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continue"/>
            <w:vAlign w:val="center"/>
          </w:tcPr>
          <w:p>
            <w:pPr>
              <w:jc w:val="center"/>
              <w:rPr>
                <w:rFonts w:ascii="宋体" w:hAnsi="宋体" w:cs="Arial"/>
                <w:b/>
                <w:color w:val="000000"/>
                <w:szCs w:val="21"/>
              </w:rPr>
            </w:pPr>
          </w:p>
        </w:tc>
        <w:tc>
          <w:tcPr>
            <w:tcW w:w="794" w:type="dxa"/>
            <w:vMerge w:val="continue"/>
            <w:vAlign w:val="center"/>
          </w:tcPr>
          <w:p>
            <w:pPr>
              <w:jc w:val="center"/>
              <w:rPr>
                <w:rFonts w:ascii="宋体" w:hAnsi="宋体" w:cs="Arial"/>
                <w:b/>
                <w:color w:val="000000"/>
                <w:szCs w:val="21"/>
              </w:rPr>
            </w:pPr>
          </w:p>
        </w:tc>
        <w:tc>
          <w:tcPr>
            <w:tcW w:w="999" w:type="dxa"/>
            <w:vMerge w:val="continue"/>
            <w:vAlign w:val="center"/>
          </w:tcPr>
          <w:p>
            <w:pPr>
              <w:jc w:val="center"/>
              <w:rPr>
                <w:rFonts w:ascii="宋体" w:hAnsi="宋体" w:cs="Arial"/>
                <w:b/>
                <w:color w:val="000000"/>
                <w:szCs w:val="21"/>
              </w:rPr>
            </w:pPr>
          </w:p>
        </w:tc>
        <w:tc>
          <w:tcPr>
            <w:tcW w:w="999" w:type="dxa"/>
            <w:vMerge w:val="continue"/>
            <w:vAlign w:val="center"/>
          </w:tcPr>
          <w:p>
            <w:pPr>
              <w:jc w:val="center"/>
              <w:rPr>
                <w:rFonts w:ascii="宋体" w:hAnsi="宋体" w:cs="Arial"/>
                <w:b/>
                <w:color w:val="000000"/>
                <w:szCs w:val="21"/>
              </w:rPr>
            </w:pPr>
          </w:p>
        </w:tc>
        <w:tc>
          <w:tcPr>
            <w:tcW w:w="999" w:type="dxa"/>
            <w:vMerge w:val="continue"/>
            <w:vAlign w:val="center"/>
          </w:tcPr>
          <w:p>
            <w:pPr>
              <w:jc w:val="center"/>
              <w:rPr>
                <w:rFonts w:ascii="宋体" w:hAnsi="宋体" w:cs="Arial"/>
                <w:b/>
                <w:color w:val="000000"/>
                <w:szCs w:val="21"/>
              </w:rPr>
            </w:pPr>
          </w:p>
        </w:tc>
        <w:tc>
          <w:tcPr>
            <w:tcW w:w="1310" w:type="dxa"/>
            <w:vAlign w:val="center"/>
          </w:tcPr>
          <w:p>
            <w:pPr>
              <w:jc w:val="center"/>
              <w:rPr>
                <w:rFonts w:ascii="宋体" w:hAnsi="宋体" w:cs="Arial"/>
                <w:b/>
                <w:color w:val="000000"/>
                <w:szCs w:val="21"/>
              </w:rPr>
            </w:pPr>
            <w:r>
              <w:rPr>
                <w:rFonts w:hint="eastAsia" w:ascii="宋体" w:hAnsi="宋体" w:cs="Arial"/>
                <w:b/>
                <w:color w:val="000000"/>
                <w:szCs w:val="21"/>
              </w:rPr>
              <w:t>证书名称</w:t>
            </w:r>
          </w:p>
        </w:tc>
        <w:tc>
          <w:tcPr>
            <w:tcW w:w="913" w:type="dxa"/>
            <w:vAlign w:val="center"/>
          </w:tcPr>
          <w:p>
            <w:pPr>
              <w:jc w:val="center"/>
              <w:rPr>
                <w:rFonts w:ascii="宋体" w:hAnsi="宋体" w:cs="Arial"/>
                <w:b/>
                <w:color w:val="000000"/>
                <w:szCs w:val="21"/>
              </w:rPr>
            </w:pPr>
            <w:r>
              <w:rPr>
                <w:rFonts w:hint="eastAsia" w:ascii="宋体" w:hAnsi="宋体" w:cs="Arial"/>
                <w:b/>
                <w:color w:val="000000"/>
                <w:szCs w:val="21"/>
              </w:rPr>
              <w:t>级别</w:t>
            </w:r>
          </w:p>
        </w:tc>
        <w:tc>
          <w:tcPr>
            <w:tcW w:w="1043" w:type="dxa"/>
            <w:vAlign w:val="center"/>
          </w:tcPr>
          <w:p>
            <w:pPr>
              <w:jc w:val="center"/>
              <w:rPr>
                <w:rFonts w:ascii="宋体" w:hAnsi="宋体" w:cs="Arial"/>
                <w:b/>
                <w:color w:val="000000"/>
                <w:szCs w:val="21"/>
              </w:rPr>
            </w:pPr>
            <w:r>
              <w:rPr>
                <w:rFonts w:hint="eastAsia" w:ascii="宋体" w:hAnsi="宋体" w:cs="Arial"/>
                <w:b/>
                <w:color w:val="000000"/>
                <w:szCs w:val="21"/>
              </w:rPr>
              <w:t>证号</w:t>
            </w:r>
          </w:p>
        </w:tc>
        <w:tc>
          <w:tcPr>
            <w:tcW w:w="909" w:type="dxa"/>
            <w:vAlign w:val="center"/>
          </w:tcPr>
          <w:p>
            <w:pPr>
              <w:jc w:val="center"/>
              <w:rPr>
                <w:rFonts w:ascii="宋体" w:hAnsi="宋体" w:cs="Arial"/>
                <w:b/>
                <w:color w:val="000000"/>
                <w:szCs w:val="21"/>
              </w:rPr>
            </w:pPr>
            <w:r>
              <w:rPr>
                <w:rFonts w:hint="eastAsia" w:ascii="宋体" w:hAnsi="宋体" w:cs="Arial"/>
                <w:b/>
                <w:color w:val="000000"/>
                <w:szCs w:val="21"/>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restart"/>
            <w:vAlign w:val="center"/>
          </w:tcPr>
          <w:p>
            <w:pPr>
              <w:jc w:val="center"/>
              <w:rPr>
                <w:rFonts w:ascii="宋体" w:hAnsi="宋体" w:cs="Arial"/>
                <w:b/>
                <w:color w:val="000000"/>
                <w:szCs w:val="21"/>
              </w:rPr>
            </w:pPr>
            <w:r>
              <w:rPr>
                <w:rFonts w:hint="eastAsia" w:ascii="宋体" w:hAnsi="宋体" w:cs="Arial"/>
                <w:b/>
                <w:color w:val="000000"/>
                <w:szCs w:val="21"/>
              </w:rPr>
              <w:t>项目负责人</w:t>
            </w:r>
          </w:p>
        </w:tc>
        <w:tc>
          <w:tcPr>
            <w:tcW w:w="794"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1310" w:type="dxa"/>
            <w:vAlign w:val="center"/>
          </w:tcPr>
          <w:p>
            <w:pPr>
              <w:jc w:val="center"/>
              <w:rPr>
                <w:rFonts w:ascii="宋体" w:hAnsi="宋体" w:cs="Arial"/>
                <w:b/>
                <w:color w:val="000000"/>
                <w:szCs w:val="21"/>
              </w:rPr>
            </w:pPr>
          </w:p>
        </w:tc>
        <w:tc>
          <w:tcPr>
            <w:tcW w:w="913" w:type="dxa"/>
            <w:vAlign w:val="center"/>
          </w:tcPr>
          <w:p>
            <w:pPr>
              <w:jc w:val="center"/>
              <w:rPr>
                <w:rFonts w:ascii="宋体" w:hAnsi="宋体" w:cs="Arial"/>
                <w:b/>
                <w:color w:val="000000"/>
                <w:szCs w:val="21"/>
              </w:rPr>
            </w:pPr>
          </w:p>
        </w:tc>
        <w:tc>
          <w:tcPr>
            <w:tcW w:w="1043" w:type="dxa"/>
            <w:vAlign w:val="center"/>
          </w:tcPr>
          <w:p>
            <w:pPr>
              <w:jc w:val="center"/>
              <w:rPr>
                <w:rFonts w:ascii="宋体" w:hAnsi="宋体" w:cs="Arial"/>
                <w:b/>
                <w:color w:val="000000"/>
                <w:szCs w:val="21"/>
              </w:rPr>
            </w:pPr>
          </w:p>
        </w:tc>
        <w:tc>
          <w:tcPr>
            <w:tcW w:w="909" w:type="dxa"/>
            <w:vAlign w:val="center"/>
          </w:tcPr>
          <w:p>
            <w:pPr>
              <w:jc w:val="center"/>
              <w:rPr>
                <w:rFonts w:ascii="宋体" w:hAnsi="宋体" w:cs="Arial"/>
                <w:b/>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continue"/>
            <w:vAlign w:val="center"/>
          </w:tcPr>
          <w:p>
            <w:pPr>
              <w:jc w:val="center"/>
              <w:rPr>
                <w:rFonts w:ascii="宋体" w:hAnsi="宋体" w:cs="Arial"/>
                <w:b/>
                <w:color w:val="000000"/>
                <w:szCs w:val="21"/>
              </w:rPr>
            </w:pPr>
          </w:p>
        </w:tc>
        <w:tc>
          <w:tcPr>
            <w:tcW w:w="794"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1310" w:type="dxa"/>
            <w:vAlign w:val="center"/>
          </w:tcPr>
          <w:p>
            <w:pPr>
              <w:jc w:val="center"/>
              <w:rPr>
                <w:rFonts w:ascii="宋体" w:hAnsi="宋体" w:cs="Arial"/>
                <w:b/>
                <w:color w:val="000000"/>
                <w:szCs w:val="21"/>
              </w:rPr>
            </w:pPr>
          </w:p>
        </w:tc>
        <w:tc>
          <w:tcPr>
            <w:tcW w:w="913" w:type="dxa"/>
            <w:vAlign w:val="center"/>
          </w:tcPr>
          <w:p>
            <w:pPr>
              <w:jc w:val="center"/>
              <w:rPr>
                <w:rFonts w:ascii="宋体" w:hAnsi="宋体" w:cs="Arial"/>
                <w:b/>
                <w:color w:val="000000"/>
                <w:szCs w:val="21"/>
              </w:rPr>
            </w:pPr>
          </w:p>
        </w:tc>
        <w:tc>
          <w:tcPr>
            <w:tcW w:w="1043" w:type="dxa"/>
            <w:vAlign w:val="center"/>
          </w:tcPr>
          <w:p>
            <w:pPr>
              <w:jc w:val="center"/>
              <w:rPr>
                <w:rFonts w:ascii="宋体" w:hAnsi="宋体" w:cs="Arial"/>
                <w:b/>
                <w:color w:val="000000"/>
                <w:szCs w:val="21"/>
              </w:rPr>
            </w:pPr>
          </w:p>
        </w:tc>
        <w:tc>
          <w:tcPr>
            <w:tcW w:w="909" w:type="dxa"/>
            <w:vAlign w:val="center"/>
          </w:tcPr>
          <w:p>
            <w:pPr>
              <w:jc w:val="center"/>
              <w:rPr>
                <w:rFonts w:ascii="宋体" w:hAnsi="宋体" w:cs="Arial"/>
                <w:b/>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continue"/>
            <w:vAlign w:val="center"/>
          </w:tcPr>
          <w:p>
            <w:pPr>
              <w:jc w:val="center"/>
              <w:rPr>
                <w:rFonts w:ascii="宋体" w:hAnsi="宋体" w:cs="Arial"/>
                <w:b/>
                <w:color w:val="000000"/>
                <w:szCs w:val="21"/>
              </w:rPr>
            </w:pPr>
          </w:p>
        </w:tc>
        <w:tc>
          <w:tcPr>
            <w:tcW w:w="794"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1310" w:type="dxa"/>
            <w:vAlign w:val="center"/>
          </w:tcPr>
          <w:p>
            <w:pPr>
              <w:jc w:val="center"/>
              <w:rPr>
                <w:rFonts w:ascii="宋体" w:hAnsi="宋体" w:cs="Arial"/>
                <w:b/>
                <w:color w:val="000000"/>
                <w:szCs w:val="21"/>
              </w:rPr>
            </w:pPr>
          </w:p>
        </w:tc>
        <w:tc>
          <w:tcPr>
            <w:tcW w:w="913" w:type="dxa"/>
            <w:vAlign w:val="center"/>
          </w:tcPr>
          <w:p>
            <w:pPr>
              <w:jc w:val="center"/>
              <w:rPr>
                <w:rFonts w:ascii="宋体" w:hAnsi="宋体" w:cs="Arial"/>
                <w:b/>
                <w:color w:val="000000"/>
                <w:szCs w:val="21"/>
              </w:rPr>
            </w:pPr>
          </w:p>
        </w:tc>
        <w:tc>
          <w:tcPr>
            <w:tcW w:w="1043" w:type="dxa"/>
            <w:vAlign w:val="center"/>
          </w:tcPr>
          <w:p>
            <w:pPr>
              <w:jc w:val="center"/>
              <w:rPr>
                <w:rFonts w:ascii="宋体" w:hAnsi="宋体" w:cs="Arial"/>
                <w:b/>
                <w:color w:val="000000"/>
                <w:szCs w:val="21"/>
              </w:rPr>
            </w:pPr>
          </w:p>
        </w:tc>
        <w:tc>
          <w:tcPr>
            <w:tcW w:w="909" w:type="dxa"/>
            <w:vAlign w:val="center"/>
          </w:tcPr>
          <w:p>
            <w:pPr>
              <w:jc w:val="center"/>
              <w:rPr>
                <w:rFonts w:ascii="宋体" w:hAnsi="宋体" w:cs="Arial"/>
                <w:b/>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restart"/>
            <w:vAlign w:val="center"/>
          </w:tcPr>
          <w:p>
            <w:pPr>
              <w:jc w:val="center"/>
              <w:rPr>
                <w:rFonts w:ascii="宋体" w:hAnsi="宋体" w:cs="Arial"/>
                <w:b/>
                <w:color w:val="000000"/>
                <w:szCs w:val="21"/>
              </w:rPr>
            </w:pPr>
            <w:r>
              <w:rPr>
                <w:rFonts w:hint="eastAsia" w:ascii="宋体" w:hAnsi="宋体" w:cs="Arial"/>
                <w:b/>
                <w:color w:val="000000"/>
                <w:szCs w:val="21"/>
              </w:rPr>
              <w:t>专业设计领域人员</w:t>
            </w:r>
          </w:p>
        </w:tc>
        <w:tc>
          <w:tcPr>
            <w:tcW w:w="794"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1310" w:type="dxa"/>
            <w:vAlign w:val="center"/>
          </w:tcPr>
          <w:p>
            <w:pPr>
              <w:jc w:val="center"/>
              <w:rPr>
                <w:rFonts w:ascii="宋体" w:hAnsi="宋体" w:cs="Arial"/>
                <w:b/>
                <w:color w:val="000000"/>
                <w:szCs w:val="21"/>
              </w:rPr>
            </w:pPr>
          </w:p>
        </w:tc>
        <w:tc>
          <w:tcPr>
            <w:tcW w:w="913" w:type="dxa"/>
            <w:vAlign w:val="center"/>
          </w:tcPr>
          <w:p>
            <w:pPr>
              <w:jc w:val="center"/>
              <w:rPr>
                <w:rFonts w:ascii="宋体" w:hAnsi="宋体" w:cs="Arial"/>
                <w:b/>
                <w:color w:val="000000"/>
                <w:szCs w:val="21"/>
              </w:rPr>
            </w:pPr>
          </w:p>
        </w:tc>
        <w:tc>
          <w:tcPr>
            <w:tcW w:w="1043" w:type="dxa"/>
            <w:vAlign w:val="center"/>
          </w:tcPr>
          <w:p>
            <w:pPr>
              <w:jc w:val="center"/>
              <w:rPr>
                <w:rFonts w:ascii="宋体" w:hAnsi="宋体" w:cs="Arial"/>
                <w:b/>
                <w:color w:val="000000"/>
                <w:szCs w:val="21"/>
              </w:rPr>
            </w:pPr>
          </w:p>
        </w:tc>
        <w:tc>
          <w:tcPr>
            <w:tcW w:w="909" w:type="dxa"/>
            <w:vAlign w:val="center"/>
          </w:tcPr>
          <w:p>
            <w:pPr>
              <w:jc w:val="center"/>
              <w:rPr>
                <w:rFonts w:ascii="宋体" w:hAnsi="宋体" w:cs="Arial"/>
                <w:b/>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continue"/>
            <w:vAlign w:val="center"/>
          </w:tcPr>
          <w:p>
            <w:pPr>
              <w:jc w:val="center"/>
              <w:rPr>
                <w:rFonts w:ascii="宋体" w:hAnsi="宋体" w:cs="Arial"/>
                <w:b/>
                <w:color w:val="000000"/>
                <w:szCs w:val="21"/>
              </w:rPr>
            </w:pPr>
          </w:p>
        </w:tc>
        <w:tc>
          <w:tcPr>
            <w:tcW w:w="794"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1310" w:type="dxa"/>
            <w:vAlign w:val="center"/>
          </w:tcPr>
          <w:p>
            <w:pPr>
              <w:jc w:val="center"/>
              <w:rPr>
                <w:rFonts w:ascii="宋体" w:hAnsi="宋体" w:cs="Arial"/>
                <w:b/>
                <w:color w:val="000000"/>
                <w:szCs w:val="21"/>
              </w:rPr>
            </w:pPr>
          </w:p>
        </w:tc>
        <w:tc>
          <w:tcPr>
            <w:tcW w:w="913" w:type="dxa"/>
            <w:vAlign w:val="center"/>
          </w:tcPr>
          <w:p>
            <w:pPr>
              <w:jc w:val="center"/>
              <w:rPr>
                <w:rFonts w:ascii="宋体" w:hAnsi="宋体" w:cs="Arial"/>
                <w:b/>
                <w:color w:val="000000"/>
                <w:szCs w:val="21"/>
              </w:rPr>
            </w:pPr>
          </w:p>
        </w:tc>
        <w:tc>
          <w:tcPr>
            <w:tcW w:w="1043" w:type="dxa"/>
            <w:vAlign w:val="center"/>
          </w:tcPr>
          <w:p>
            <w:pPr>
              <w:jc w:val="center"/>
              <w:rPr>
                <w:rFonts w:ascii="宋体" w:hAnsi="宋体" w:cs="Arial"/>
                <w:b/>
                <w:color w:val="000000"/>
                <w:szCs w:val="21"/>
              </w:rPr>
            </w:pPr>
          </w:p>
        </w:tc>
        <w:tc>
          <w:tcPr>
            <w:tcW w:w="909" w:type="dxa"/>
            <w:vAlign w:val="center"/>
          </w:tcPr>
          <w:p>
            <w:pPr>
              <w:jc w:val="center"/>
              <w:rPr>
                <w:rFonts w:ascii="宋体" w:hAnsi="宋体" w:cs="Arial"/>
                <w:b/>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continue"/>
            <w:vAlign w:val="center"/>
          </w:tcPr>
          <w:p>
            <w:pPr>
              <w:jc w:val="center"/>
              <w:rPr>
                <w:rFonts w:ascii="宋体" w:hAnsi="宋体" w:cs="Arial"/>
                <w:b/>
                <w:color w:val="000000"/>
                <w:szCs w:val="21"/>
              </w:rPr>
            </w:pPr>
          </w:p>
        </w:tc>
        <w:tc>
          <w:tcPr>
            <w:tcW w:w="794"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1310" w:type="dxa"/>
            <w:vAlign w:val="center"/>
          </w:tcPr>
          <w:p>
            <w:pPr>
              <w:jc w:val="center"/>
              <w:rPr>
                <w:rFonts w:ascii="宋体" w:hAnsi="宋体" w:cs="Arial"/>
                <w:b/>
                <w:color w:val="000000"/>
                <w:szCs w:val="21"/>
              </w:rPr>
            </w:pPr>
          </w:p>
        </w:tc>
        <w:tc>
          <w:tcPr>
            <w:tcW w:w="913" w:type="dxa"/>
            <w:vAlign w:val="center"/>
          </w:tcPr>
          <w:p>
            <w:pPr>
              <w:jc w:val="center"/>
              <w:rPr>
                <w:rFonts w:ascii="宋体" w:hAnsi="宋体" w:cs="Arial"/>
                <w:b/>
                <w:color w:val="000000"/>
                <w:szCs w:val="21"/>
              </w:rPr>
            </w:pPr>
          </w:p>
        </w:tc>
        <w:tc>
          <w:tcPr>
            <w:tcW w:w="1043" w:type="dxa"/>
            <w:vAlign w:val="center"/>
          </w:tcPr>
          <w:p>
            <w:pPr>
              <w:jc w:val="center"/>
              <w:rPr>
                <w:rFonts w:ascii="宋体" w:hAnsi="宋体" w:cs="Arial"/>
                <w:b/>
                <w:color w:val="000000"/>
                <w:szCs w:val="21"/>
              </w:rPr>
            </w:pPr>
          </w:p>
        </w:tc>
        <w:tc>
          <w:tcPr>
            <w:tcW w:w="909" w:type="dxa"/>
            <w:vAlign w:val="center"/>
          </w:tcPr>
          <w:p>
            <w:pPr>
              <w:jc w:val="center"/>
              <w:rPr>
                <w:rFonts w:ascii="宋体" w:hAnsi="宋体" w:cs="Arial"/>
                <w:b/>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restart"/>
            <w:vAlign w:val="center"/>
          </w:tcPr>
          <w:p>
            <w:pPr>
              <w:jc w:val="center"/>
              <w:rPr>
                <w:rFonts w:ascii="宋体" w:hAnsi="宋体" w:cs="Arial"/>
                <w:b/>
                <w:color w:val="000000"/>
                <w:szCs w:val="21"/>
              </w:rPr>
            </w:pPr>
            <w:r>
              <w:rPr>
                <w:rFonts w:hint="eastAsia" w:ascii="宋体" w:hAnsi="宋体" w:cs="Arial"/>
                <w:b/>
                <w:color w:val="000000"/>
                <w:szCs w:val="21"/>
              </w:rPr>
              <w:t>团队其他人员</w:t>
            </w:r>
          </w:p>
        </w:tc>
        <w:tc>
          <w:tcPr>
            <w:tcW w:w="794"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color w:val="000000"/>
                <w:szCs w:val="21"/>
              </w:rPr>
            </w:pPr>
          </w:p>
        </w:tc>
        <w:tc>
          <w:tcPr>
            <w:tcW w:w="1310" w:type="dxa"/>
            <w:vAlign w:val="center"/>
          </w:tcPr>
          <w:p>
            <w:pPr>
              <w:jc w:val="center"/>
              <w:rPr>
                <w:rFonts w:ascii="宋体" w:hAnsi="宋体" w:cs="Arial"/>
                <w:b/>
                <w:color w:val="000000"/>
                <w:szCs w:val="21"/>
              </w:rPr>
            </w:pPr>
          </w:p>
        </w:tc>
        <w:tc>
          <w:tcPr>
            <w:tcW w:w="913" w:type="dxa"/>
            <w:vAlign w:val="center"/>
          </w:tcPr>
          <w:p>
            <w:pPr>
              <w:jc w:val="center"/>
              <w:rPr>
                <w:rFonts w:ascii="宋体" w:hAnsi="宋体" w:cs="Arial"/>
                <w:b/>
                <w:color w:val="000000"/>
                <w:szCs w:val="21"/>
              </w:rPr>
            </w:pPr>
          </w:p>
        </w:tc>
        <w:tc>
          <w:tcPr>
            <w:tcW w:w="1043" w:type="dxa"/>
            <w:vAlign w:val="center"/>
          </w:tcPr>
          <w:p>
            <w:pPr>
              <w:jc w:val="center"/>
              <w:rPr>
                <w:rFonts w:ascii="宋体" w:hAnsi="宋体" w:cs="Arial"/>
                <w:b/>
                <w:color w:val="000000"/>
                <w:szCs w:val="21"/>
              </w:rPr>
            </w:pPr>
          </w:p>
        </w:tc>
        <w:tc>
          <w:tcPr>
            <w:tcW w:w="909" w:type="dxa"/>
            <w:vAlign w:val="center"/>
          </w:tcPr>
          <w:p>
            <w:pPr>
              <w:jc w:val="center"/>
              <w:rPr>
                <w:rFonts w:ascii="宋体" w:hAnsi="宋体" w:cs="Arial"/>
                <w:b/>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continue"/>
            <w:vAlign w:val="center"/>
          </w:tcPr>
          <w:p>
            <w:pPr>
              <w:jc w:val="center"/>
              <w:rPr>
                <w:rFonts w:ascii="宋体" w:hAnsi="宋体" w:cs="Arial"/>
                <w:b/>
                <w:color w:val="000000"/>
                <w:szCs w:val="21"/>
              </w:rPr>
            </w:pPr>
          </w:p>
        </w:tc>
        <w:tc>
          <w:tcPr>
            <w:tcW w:w="794"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bCs/>
                <w:color w:val="000000"/>
                <w:szCs w:val="21"/>
              </w:rPr>
            </w:pPr>
          </w:p>
        </w:tc>
        <w:tc>
          <w:tcPr>
            <w:tcW w:w="999" w:type="dxa"/>
            <w:vAlign w:val="center"/>
          </w:tcPr>
          <w:p>
            <w:pPr>
              <w:jc w:val="center"/>
              <w:rPr>
                <w:rFonts w:ascii="宋体" w:hAnsi="宋体" w:cs="Arial"/>
                <w:b/>
                <w:bCs/>
                <w:color w:val="000000"/>
                <w:szCs w:val="21"/>
              </w:rPr>
            </w:pPr>
          </w:p>
        </w:tc>
        <w:tc>
          <w:tcPr>
            <w:tcW w:w="999" w:type="dxa"/>
            <w:vAlign w:val="center"/>
          </w:tcPr>
          <w:p>
            <w:pPr>
              <w:jc w:val="center"/>
              <w:rPr>
                <w:rFonts w:ascii="宋体" w:hAnsi="宋体" w:cs="Arial"/>
                <w:b/>
                <w:bCs/>
                <w:color w:val="000000"/>
                <w:szCs w:val="21"/>
              </w:rPr>
            </w:pPr>
          </w:p>
        </w:tc>
        <w:tc>
          <w:tcPr>
            <w:tcW w:w="1310" w:type="dxa"/>
            <w:vAlign w:val="center"/>
          </w:tcPr>
          <w:p>
            <w:pPr>
              <w:jc w:val="center"/>
              <w:rPr>
                <w:rFonts w:ascii="宋体" w:hAnsi="宋体" w:cs="Arial"/>
                <w:b/>
                <w:bCs/>
                <w:color w:val="000000"/>
                <w:szCs w:val="21"/>
              </w:rPr>
            </w:pPr>
          </w:p>
        </w:tc>
        <w:tc>
          <w:tcPr>
            <w:tcW w:w="913" w:type="dxa"/>
            <w:vAlign w:val="center"/>
          </w:tcPr>
          <w:p>
            <w:pPr>
              <w:jc w:val="center"/>
              <w:rPr>
                <w:rFonts w:ascii="宋体" w:hAnsi="宋体" w:cs="Arial"/>
                <w:b/>
                <w:bCs/>
                <w:color w:val="000000"/>
                <w:szCs w:val="21"/>
              </w:rPr>
            </w:pPr>
          </w:p>
        </w:tc>
        <w:tc>
          <w:tcPr>
            <w:tcW w:w="1043" w:type="dxa"/>
            <w:vAlign w:val="center"/>
          </w:tcPr>
          <w:p>
            <w:pPr>
              <w:jc w:val="center"/>
              <w:rPr>
                <w:rFonts w:ascii="宋体" w:hAnsi="宋体" w:cs="Arial"/>
                <w:b/>
                <w:bCs/>
                <w:color w:val="000000"/>
                <w:szCs w:val="21"/>
              </w:rPr>
            </w:pPr>
          </w:p>
        </w:tc>
        <w:tc>
          <w:tcPr>
            <w:tcW w:w="909" w:type="dxa"/>
            <w:vAlign w:val="center"/>
          </w:tcPr>
          <w:p>
            <w:pPr>
              <w:jc w:val="center"/>
              <w:rPr>
                <w:rFonts w:ascii="宋体" w:hAnsi="宋体" w:cs="Arial"/>
                <w:b/>
                <w:bCs/>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7" w:type="dxa"/>
            <w:vMerge w:val="continue"/>
            <w:vAlign w:val="center"/>
          </w:tcPr>
          <w:p>
            <w:pPr>
              <w:jc w:val="center"/>
              <w:rPr>
                <w:rFonts w:ascii="宋体" w:hAnsi="宋体" w:cs="Arial"/>
                <w:b/>
                <w:color w:val="000000"/>
                <w:szCs w:val="21"/>
              </w:rPr>
            </w:pPr>
          </w:p>
        </w:tc>
        <w:tc>
          <w:tcPr>
            <w:tcW w:w="794" w:type="dxa"/>
            <w:vAlign w:val="center"/>
          </w:tcPr>
          <w:p>
            <w:pPr>
              <w:jc w:val="center"/>
              <w:rPr>
                <w:rFonts w:ascii="宋体" w:hAnsi="宋体" w:cs="Arial"/>
                <w:b/>
                <w:color w:val="000000"/>
                <w:szCs w:val="21"/>
              </w:rPr>
            </w:pPr>
          </w:p>
        </w:tc>
        <w:tc>
          <w:tcPr>
            <w:tcW w:w="999" w:type="dxa"/>
            <w:vAlign w:val="center"/>
          </w:tcPr>
          <w:p>
            <w:pPr>
              <w:jc w:val="center"/>
              <w:rPr>
                <w:rFonts w:ascii="宋体" w:hAnsi="宋体" w:cs="Arial"/>
                <w:b/>
                <w:bCs/>
                <w:color w:val="000000"/>
                <w:szCs w:val="21"/>
              </w:rPr>
            </w:pPr>
          </w:p>
        </w:tc>
        <w:tc>
          <w:tcPr>
            <w:tcW w:w="999" w:type="dxa"/>
            <w:vAlign w:val="center"/>
          </w:tcPr>
          <w:p>
            <w:pPr>
              <w:jc w:val="center"/>
              <w:rPr>
                <w:rFonts w:ascii="宋体" w:hAnsi="宋体" w:cs="Arial"/>
                <w:b/>
                <w:bCs/>
                <w:color w:val="000000"/>
                <w:szCs w:val="21"/>
              </w:rPr>
            </w:pPr>
          </w:p>
        </w:tc>
        <w:tc>
          <w:tcPr>
            <w:tcW w:w="999" w:type="dxa"/>
            <w:vAlign w:val="center"/>
          </w:tcPr>
          <w:p>
            <w:pPr>
              <w:jc w:val="center"/>
              <w:rPr>
                <w:rFonts w:ascii="宋体" w:hAnsi="宋体" w:cs="Arial"/>
                <w:b/>
                <w:bCs/>
                <w:color w:val="000000"/>
                <w:szCs w:val="21"/>
              </w:rPr>
            </w:pPr>
          </w:p>
        </w:tc>
        <w:tc>
          <w:tcPr>
            <w:tcW w:w="1310" w:type="dxa"/>
            <w:vAlign w:val="center"/>
          </w:tcPr>
          <w:p>
            <w:pPr>
              <w:jc w:val="center"/>
              <w:rPr>
                <w:rFonts w:ascii="宋体" w:hAnsi="宋体" w:cs="Arial"/>
                <w:b/>
                <w:bCs/>
                <w:color w:val="000000"/>
                <w:szCs w:val="21"/>
              </w:rPr>
            </w:pPr>
          </w:p>
        </w:tc>
        <w:tc>
          <w:tcPr>
            <w:tcW w:w="913" w:type="dxa"/>
            <w:vAlign w:val="center"/>
          </w:tcPr>
          <w:p>
            <w:pPr>
              <w:jc w:val="center"/>
              <w:rPr>
                <w:rFonts w:ascii="宋体" w:hAnsi="宋体" w:cs="Arial"/>
                <w:b/>
                <w:bCs/>
                <w:color w:val="000000"/>
                <w:szCs w:val="21"/>
              </w:rPr>
            </w:pPr>
          </w:p>
        </w:tc>
        <w:tc>
          <w:tcPr>
            <w:tcW w:w="1043" w:type="dxa"/>
            <w:vAlign w:val="center"/>
          </w:tcPr>
          <w:p>
            <w:pPr>
              <w:jc w:val="center"/>
              <w:rPr>
                <w:rFonts w:ascii="宋体" w:hAnsi="宋体" w:cs="Arial"/>
                <w:b/>
                <w:bCs/>
                <w:color w:val="000000"/>
                <w:szCs w:val="21"/>
              </w:rPr>
            </w:pPr>
          </w:p>
        </w:tc>
        <w:tc>
          <w:tcPr>
            <w:tcW w:w="909" w:type="dxa"/>
            <w:vAlign w:val="center"/>
          </w:tcPr>
          <w:p>
            <w:pPr>
              <w:jc w:val="center"/>
              <w:rPr>
                <w:rFonts w:ascii="宋体" w:hAnsi="宋体" w:cs="Arial"/>
                <w:b/>
                <w:bCs/>
                <w:color w:val="000000"/>
                <w:szCs w:val="21"/>
              </w:rPr>
            </w:pPr>
          </w:p>
        </w:tc>
      </w:tr>
    </w:tbl>
    <w:p>
      <w:pPr>
        <w:spacing w:before="159" w:beforeLines="50" w:line="360" w:lineRule="auto"/>
        <w:ind w:firstLine="420" w:firstLineChars="200"/>
        <w:rPr>
          <w:rFonts w:ascii="宋体" w:hAnsi="宋体" w:cs="Arial"/>
          <w:bCs/>
          <w:color w:val="000000"/>
        </w:rPr>
      </w:pPr>
      <w:r>
        <w:rPr>
          <w:rFonts w:hint="eastAsia" w:ascii="宋体" w:hAnsi="宋体" w:cs="Arial"/>
          <w:bCs/>
          <w:color w:val="000000"/>
        </w:rPr>
        <w:t>注：</w:t>
      </w:r>
      <w:r>
        <w:rPr>
          <w:rFonts w:ascii="宋体" w:hAnsi="宋体" w:cs="Arial"/>
          <w:bCs/>
          <w:color w:val="000000"/>
        </w:rPr>
        <w:t xml:space="preserve"> </w:t>
      </w:r>
      <w:r>
        <w:rPr>
          <w:rFonts w:hint="eastAsia" w:ascii="宋体" w:hAnsi="宋体" w:cs="Arial"/>
          <w:bCs/>
          <w:color w:val="000000"/>
        </w:rPr>
        <w:t>投标人根据自身实际情况填写，对不涉及的内容可填写</w:t>
      </w:r>
      <w:r>
        <w:rPr>
          <w:rFonts w:ascii="宋体" w:hAnsi="宋体" w:cs="Arial"/>
          <w:bCs/>
          <w:color w:val="000000"/>
        </w:rPr>
        <w:t xml:space="preserve"> </w:t>
      </w:r>
      <w:r>
        <w:rPr>
          <w:rFonts w:hint="eastAsia" w:ascii="宋体" w:hAnsi="宋体" w:cs="Arial"/>
          <w:bCs/>
          <w:color w:val="000000"/>
        </w:rPr>
        <w:t>“</w:t>
      </w:r>
      <w:r>
        <w:rPr>
          <w:rFonts w:ascii="宋体" w:hAnsi="宋体" w:cs="Arial"/>
          <w:bCs/>
          <w:color w:val="000000"/>
        </w:rPr>
        <w:t xml:space="preserve">/ </w:t>
      </w:r>
      <w:r>
        <w:rPr>
          <w:rFonts w:hint="eastAsia" w:ascii="宋体" w:hAnsi="宋体" w:cs="Arial"/>
          <w:bCs/>
          <w:color w:val="000000"/>
        </w:rPr>
        <w:t>”</w:t>
      </w:r>
      <w:r>
        <w:rPr>
          <w:rFonts w:ascii="宋体" w:hAnsi="宋体" w:cs="Arial"/>
          <w:bCs/>
          <w:color w:val="000000"/>
        </w:rPr>
        <w:t xml:space="preserve"> </w:t>
      </w:r>
      <w:r>
        <w:rPr>
          <w:rFonts w:hint="eastAsia" w:ascii="宋体" w:hAnsi="宋体" w:cs="Arial"/>
          <w:bCs/>
          <w:color w:val="000000"/>
        </w:rPr>
        <w:t>。</w:t>
      </w:r>
    </w:p>
    <w:p>
      <w:pPr>
        <w:rPr>
          <w:rFonts w:ascii="宋体" w:hAnsi="宋体" w:cs="Arial"/>
          <w:bCs/>
          <w:color w:val="000000"/>
          <w:sz w:val="24"/>
        </w:rPr>
      </w:pPr>
    </w:p>
    <w:p>
      <w:pPr>
        <w:spacing w:line="360" w:lineRule="auto"/>
        <w:ind w:firstLine="480" w:firstLineChars="200"/>
        <w:rPr>
          <w:rFonts w:ascii="宋体" w:hAnsi="宋体"/>
          <w:color w:val="000000"/>
          <w:sz w:val="24"/>
        </w:rPr>
      </w:pPr>
    </w:p>
    <w:p>
      <w:pPr>
        <w:spacing w:line="360" w:lineRule="auto"/>
        <w:ind w:left="4" w:leftChars="2" w:firstLine="480" w:firstLineChars="200"/>
        <w:jc w:val="left"/>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ind w:left="4" w:leftChars="2" w:firstLine="480" w:firstLineChars="200"/>
        <w:rPr>
          <w:color w:val="000000"/>
          <w:sz w:val="24"/>
        </w:rPr>
      </w:pPr>
      <w:r>
        <w:rPr>
          <w:rFonts w:hint="eastAsia"/>
          <w:color w:val="000000"/>
          <w:sz w:val="24"/>
        </w:rPr>
        <w:t>法定代表人/单位负责人/授权代表</w:t>
      </w:r>
      <w:r>
        <w:rPr>
          <w:rFonts w:hint="eastAsia" w:ascii="宋体" w:hAnsi="宋体" w:cs="宋体"/>
          <w:color w:val="000000"/>
          <w:sz w:val="24"/>
        </w:rPr>
        <w:t>（签字或加盖个人名章）</w:t>
      </w:r>
      <w:r>
        <w:rPr>
          <w:rFonts w:hint="eastAsia"/>
          <w:color w:val="000000"/>
          <w:sz w:val="24"/>
        </w:rPr>
        <w:t>：</w:t>
      </w:r>
      <w:r>
        <w:rPr>
          <w:rFonts w:hint="eastAsia" w:ascii="宋体" w:hAnsi="宋体"/>
          <w:color w:val="000000"/>
          <w:sz w:val="24"/>
          <w:u w:val="single"/>
        </w:rPr>
        <w:t xml:space="preserve">           </w:t>
      </w:r>
    </w:p>
    <w:p>
      <w:pPr>
        <w:spacing w:line="360" w:lineRule="auto"/>
        <w:ind w:left="4" w:leftChars="2" w:firstLine="480" w:firstLineChars="200"/>
        <w:rPr>
          <w:color w:val="000000"/>
          <w:sz w:val="24"/>
        </w:rPr>
      </w:pPr>
      <w:r>
        <w:rPr>
          <w:rFonts w:hint="eastAsia"/>
          <w:color w:val="000000"/>
          <w:sz w:val="24"/>
        </w:rPr>
        <w:t>日      期：</w:t>
      </w:r>
      <w:r>
        <w:rPr>
          <w:rFonts w:hint="eastAsia" w:ascii="宋体" w:hAnsi="宋体"/>
          <w:color w:val="000000"/>
          <w:sz w:val="24"/>
          <w:u w:val="single"/>
        </w:rPr>
        <w:t xml:space="preserve">      </w:t>
      </w:r>
      <w:r>
        <w:rPr>
          <w:rFonts w:hint="eastAsia"/>
          <w:color w:val="000000"/>
          <w:sz w:val="24"/>
        </w:rPr>
        <w:t>年</w:t>
      </w:r>
      <w:r>
        <w:rPr>
          <w:rFonts w:hint="eastAsia" w:ascii="宋体" w:hAnsi="宋体"/>
          <w:color w:val="000000"/>
          <w:sz w:val="24"/>
          <w:u w:val="single"/>
        </w:rPr>
        <w:t xml:space="preserve">   </w:t>
      </w:r>
      <w:r>
        <w:rPr>
          <w:rFonts w:hint="eastAsia"/>
          <w:color w:val="000000"/>
          <w:sz w:val="24"/>
        </w:rPr>
        <w:t>月</w:t>
      </w:r>
      <w:r>
        <w:rPr>
          <w:rFonts w:hint="eastAsia" w:ascii="宋体" w:hAnsi="宋体"/>
          <w:color w:val="000000"/>
          <w:sz w:val="24"/>
          <w:u w:val="single"/>
        </w:rPr>
        <w:t xml:space="preserve">   </w:t>
      </w:r>
      <w:r>
        <w:rPr>
          <w:rFonts w:hint="eastAsia"/>
          <w:color w:val="000000"/>
          <w:sz w:val="24"/>
        </w:rPr>
        <w:t xml:space="preserve">日 </w:t>
      </w:r>
    </w:p>
    <w:p>
      <w:pPr>
        <w:rPr>
          <w:rFonts w:ascii="宋体" w:hAnsi="宋体"/>
          <w:bCs/>
          <w:color w:val="000000"/>
          <w:sz w:val="24"/>
        </w:rPr>
      </w:pPr>
    </w:p>
    <w:p>
      <w:pPr>
        <w:rPr>
          <w:rFonts w:ascii="宋体" w:hAnsi="宋体"/>
          <w:bCs/>
          <w:color w:val="000000"/>
          <w:sz w:val="24"/>
        </w:rPr>
      </w:pPr>
    </w:p>
    <w:p>
      <w:pPr>
        <w:rPr>
          <w:rFonts w:ascii="宋体" w:hAnsi="宋体"/>
          <w:bCs/>
          <w:color w:val="000000"/>
          <w:sz w:val="24"/>
        </w:rPr>
      </w:pPr>
    </w:p>
    <w:p>
      <w:pPr>
        <w:rPr>
          <w:rFonts w:ascii="宋体" w:hAnsi="宋体"/>
          <w:bCs/>
          <w:color w:val="000000"/>
          <w:sz w:val="24"/>
        </w:rPr>
      </w:pPr>
    </w:p>
    <w:p>
      <w:pPr>
        <w:jc w:val="center"/>
        <w:outlineLvl w:val="2"/>
        <w:rPr>
          <w:b/>
          <w:color w:val="000000"/>
          <w:sz w:val="32"/>
          <w:szCs w:val="32"/>
        </w:rPr>
      </w:pPr>
      <w:bookmarkStart w:id="290" w:name="_Toc421005901"/>
      <w:bookmarkStart w:id="291" w:name="_Toc16929"/>
      <w:r>
        <w:rPr>
          <w:rFonts w:ascii="宋体" w:hAnsi="宋体"/>
          <w:b/>
          <w:bCs/>
          <w:color w:val="000000"/>
          <w:kern w:val="0"/>
          <w:sz w:val="28"/>
          <w:szCs w:val="28"/>
        </w:rPr>
        <w:br w:type="page"/>
      </w:r>
      <w:bookmarkStart w:id="292" w:name="_Toc9246"/>
      <w:r>
        <w:rPr>
          <w:rFonts w:hint="eastAsia"/>
          <w:b/>
          <w:color w:val="000000"/>
          <w:sz w:val="32"/>
          <w:szCs w:val="32"/>
        </w:rPr>
        <w:t>七、服务方案</w:t>
      </w:r>
      <w:bookmarkEnd w:id="290"/>
      <w:bookmarkEnd w:id="291"/>
      <w:bookmarkEnd w:id="292"/>
    </w:p>
    <w:p>
      <w:pPr>
        <w:rPr>
          <w:rFonts w:ascii="宋体" w:hAnsi="宋体"/>
          <w:bCs/>
          <w:color w:val="000000"/>
          <w:sz w:val="24"/>
        </w:rPr>
      </w:pPr>
    </w:p>
    <w:p>
      <w:pPr>
        <w:pStyle w:val="114"/>
        <w:spacing w:line="360" w:lineRule="auto"/>
        <w:ind w:firstLine="0" w:firstLineChars="0"/>
        <w:jc w:val="center"/>
        <w:rPr>
          <w:rFonts w:hAnsi="宋体"/>
          <w:color w:val="000000"/>
          <w:sz w:val="24"/>
          <w:szCs w:val="24"/>
        </w:rPr>
      </w:pPr>
      <w:r>
        <w:rPr>
          <w:rFonts w:hint="eastAsia" w:hAnsi="宋体"/>
          <w:color w:val="000000"/>
          <w:sz w:val="24"/>
          <w:szCs w:val="24"/>
        </w:rPr>
        <w:t>由投标人自行编写，格式不限。</w:t>
      </w:r>
    </w:p>
    <w:p>
      <w:pPr>
        <w:spacing w:before="159" w:beforeLines="50" w:line="360" w:lineRule="auto"/>
        <w:ind w:firstLine="626"/>
        <w:jc w:val="center"/>
        <w:outlineLvl w:val="2"/>
        <w:rPr>
          <w:b/>
          <w:color w:val="000000"/>
          <w:sz w:val="32"/>
          <w:szCs w:val="32"/>
          <w:highlight w:val="yellow"/>
        </w:rPr>
      </w:pPr>
      <w:r>
        <w:rPr>
          <w:b/>
          <w:color w:val="000000"/>
          <w:sz w:val="32"/>
          <w:szCs w:val="32"/>
        </w:rPr>
        <w:br w:type="page"/>
      </w:r>
      <w:r>
        <w:rPr>
          <w:rFonts w:hint="eastAsia"/>
          <w:b/>
          <w:color w:val="000000"/>
          <w:sz w:val="32"/>
          <w:szCs w:val="32"/>
          <w:highlight w:val="none"/>
        </w:rPr>
        <w:t>八、中小企业声明函</w:t>
      </w:r>
      <w:bookmarkEnd w:id="214"/>
    </w:p>
    <w:p>
      <w:pPr>
        <w:spacing w:line="360" w:lineRule="auto"/>
        <w:ind w:firstLine="560" w:firstLineChars="200"/>
        <w:rPr>
          <w:rFonts w:ascii="宋体" w:hAnsi="宋体" w:cs="宋体"/>
          <w:color w:val="000000"/>
          <w:sz w:val="28"/>
          <w:szCs w:val="28"/>
        </w:rPr>
      </w:pPr>
    </w:p>
    <w:p>
      <w:pPr>
        <w:spacing w:line="360" w:lineRule="auto"/>
        <w:ind w:firstLine="480" w:firstLineChars="200"/>
        <w:rPr>
          <w:rFonts w:ascii="宋体" w:hAnsi="宋体" w:cs="宋体"/>
          <w:kern w:val="0"/>
          <w:sz w:val="24"/>
        </w:rPr>
      </w:pPr>
      <w:r>
        <w:rPr>
          <w:rFonts w:hint="eastAsia" w:ascii="宋体" w:hAnsi="宋体" w:cs="宋体"/>
          <w:sz w:val="24"/>
        </w:rPr>
        <w:t>本公司（联合体）郑重声明，根据《政府采购促进中小企业发展管理办法》（财库﹝2020﹞46 号）的规定，本公司参加</w:t>
      </w:r>
      <w:r>
        <w:rPr>
          <w:rFonts w:hint="eastAsia" w:ascii="宋体" w:hAnsi="宋体" w:cs="宋体"/>
          <w:sz w:val="24"/>
          <w:u w:val="single"/>
        </w:rPr>
        <w:t>（采购人名称）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采购活动：服务全部由符合政策要求的中小企业承接）。相关企业的具体情况如下：</w:t>
      </w:r>
      <w:r>
        <w:rPr>
          <w:rFonts w:hint="eastAsia" w:ascii="宋体" w:hAnsi="宋体" w:cs="宋体"/>
          <w:sz w:val="24"/>
        </w:rPr>
        <w:br w:type="textWrapping"/>
      </w:r>
      <w:r>
        <w:rPr>
          <w:rFonts w:hint="eastAsia" w:ascii="宋体" w:hAnsi="宋体" w:cs="宋体"/>
          <w:sz w:val="24"/>
        </w:rPr>
        <w:t>　　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XXXX  </w:t>
      </w:r>
      <w:r>
        <w:rPr>
          <w:rFonts w:hint="eastAsia" w:ascii="宋体" w:hAnsi="宋体" w:cs="宋体"/>
          <w:sz w:val="24"/>
        </w:rPr>
        <w:t>（请填写：中型、小型、微型）企业。</w:t>
      </w:r>
      <w:r>
        <w:rPr>
          <w:rFonts w:hint="eastAsia" w:ascii="宋体" w:hAnsi="宋体" w:cs="宋体"/>
          <w:sz w:val="24"/>
        </w:rPr>
        <w:br w:type="textWrapping"/>
      </w:r>
      <w:r>
        <w:rPr>
          <w:rFonts w:hint="eastAsia" w:ascii="宋体" w:hAnsi="宋体" w:cs="宋体"/>
          <w:sz w:val="24"/>
        </w:rPr>
        <w:t>　　2.</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（采购文件中明确的所属行业）</w:t>
      </w:r>
      <w:r>
        <w:rPr>
          <w:rFonts w:hint="eastAsia" w:ascii="宋体" w:hAnsi="宋体" w:cs="宋体"/>
          <w:sz w:val="24"/>
        </w:rPr>
        <w:t>；承</w:t>
      </w:r>
      <w:r>
        <w:rPr>
          <w:rFonts w:hint="eastAsia" w:ascii="宋体" w:hAnsi="宋体" w:cs="宋体"/>
          <w:sz w:val="24"/>
          <w:lang w:eastAsia="zh-CN"/>
        </w:rPr>
        <w:t>接</w:t>
      </w:r>
      <w:r>
        <w:rPr>
          <w:rFonts w:hint="eastAsia" w:ascii="宋体" w:hAnsi="宋体" w:cs="宋体"/>
          <w:sz w:val="24"/>
        </w:rPr>
        <w:t>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XXXX  </w:t>
      </w:r>
      <w:r>
        <w:rPr>
          <w:rFonts w:hint="eastAsia" w:ascii="宋体" w:hAnsi="宋体" w:cs="宋体"/>
          <w:sz w:val="24"/>
        </w:rPr>
        <w:t>（请填写：中型企业、 小型企业、微型企业）。</w:t>
      </w:r>
    </w:p>
    <w:p>
      <w:pPr>
        <w:widowControl/>
        <w:spacing w:line="360" w:lineRule="auto"/>
        <w:rPr>
          <w:rFonts w:ascii="宋体" w:hAnsi="宋体" w:cs="宋体"/>
          <w:sz w:val="24"/>
        </w:rPr>
      </w:pPr>
    </w:p>
    <w:p>
      <w:pPr>
        <w:widowControl/>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pPr>
        <w:spacing w:line="360" w:lineRule="auto"/>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供应商名称：XXXX（盖单位公章）</w:t>
      </w:r>
    </w:p>
    <w:p>
      <w:pPr>
        <w:spacing w:line="360" w:lineRule="auto"/>
        <w:ind w:firstLine="480" w:firstLineChars="200"/>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rPr>
          <w:rFonts w:ascii="宋体" w:hAnsi="宋体" w:cs="宋体"/>
          <w:sz w:val="24"/>
        </w:rPr>
      </w:pPr>
      <w:r>
        <w:rPr>
          <w:rFonts w:hint="eastAsia" w:ascii="宋体" w:hAnsi="宋体" w:cs="宋体"/>
          <w:sz w:val="24"/>
        </w:rPr>
        <w:t>日期：XXXX</w:t>
      </w:r>
    </w:p>
    <w:p>
      <w:pPr>
        <w:spacing w:before="159" w:beforeLines="50" w:line="360" w:lineRule="auto"/>
        <w:ind w:firstLine="626"/>
        <w:jc w:val="center"/>
        <w:outlineLvl w:val="2"/>
        <w:rPr>
          <w:b/>
          <w:color w:val="000000"/>
          <w:sz w:val="32"/>
          <w:szCs w:val="32"/>
        </w:rPr>
      </w:pPr>
      <w:r>
        <w:rPr>
          <w:rFonts w:hint="eastAsia" w:ascii="宋体" w:hAnsi="宋体"/>
          <w:bCs/>
          <w:color w:val="000000"/>
          <w:sz w:val="24"/>
        </w:rPr>
        <w:br w:type="page"/>
      </w:r>
      <w:bookmarkStart w:id="293" w:name="_Toc22387"/>
      <w:r>
        <w:rPr>
          <w:rFonts w:hint="eastAsia"/>
          <w:b/>
          <w:color w:val="000000"/>
          <w:sz w:val="32"/>
          <w:szCs w:val="32"/>
        </w:rPr>
        <w:t>九、监狱企业相关证明材料（ 如涉及 ）</w:t>
      </w:r>
    </w:p>
    <w:p>
      <w:pPr>
        <w:spacing w:line="360" w:lineRule="auto"/>
        <w:jc w:val="left"/>
        <w:rPr>
          <w:rFonts w:ascii="宋体" w:hAnsi="宋体"/>
          <w:bCs/>
          <w:color w:val="000000"/>
          <w:sz w:val="24"/>
        </w:rPr>
      </w:pPr>
      <w:r>
        <w:rPr>
          <w:rFonts w:hint="eastAsia" w:ascii="宋体" w:hAnsi="宋体"/>
          <w:bCs/>
          <w:color w:val="000000"/>
          <w:sz w:val="24"/>
        </w:rPr>
        <w:t>说明：</w:t>
      </w:r>
    </w:p>
    <w:p>
      <w:pPr>
        <w:spacing w:line="360" w:lineRule="auto"/>
        <w:jc w:val="left"/>
        <w:rPr>
          <w:rFonts w:ascii="宋体" w:hAnsi="宋体"/>
          <w:bCs/>
          <w:color w:val="000000"/>
          <w:sz w:val="24"/>
        </w:rPr>
      </w:pPr>
      <w:r>
        <w:rPr>
          <w:rFonts w:hint="eastAsia" w:ascii="宋体" w:hAnsi="宋体"/>
          <w:bCs/>
          <w:color w:val="000000"/>
          <w:sz w:val="24"/>
        </w:rPr>
        <w:t>①监狱企业参加政府采购活动时 ，应当提供由省级以上监狱管理局、戒毒管理局（ 含新疆生产建设兵团） 出具的属于监狱企业的证明文件。</w:t>
      </w:r>
    </w:p>
    <w:p>
      <w:pPr>
        <w:spacing w:line="360" w:lineRule="auto"/>
        <w:jc w:val="left"/>
        <w:rPr>
          <w:rFonts w:ascii="宋体" w:hAnsi="宋体"/>
          <w:bCs/>
          <w:color w:val="000000"/>
          <w:sz w:val="24"/>
        </w:rPr>
      </w:pPr>
      <w:r>
        <w:rPr>
          <w:rFonts w:hint="eastAsia" w:ascii="宋体" w:hAnsi="宋体"/>
          <w:bCs/>
          <w:color w:val="000000"/>
          <w:sz w:val="24"/>
        </w:rPr>
        <w:t>②如未提供监狱企业相关证明材料的，则其评审中的监狱企业不能享受招标文件规定的</w:t>
      </w:r>
    </w:p>
    <w:p>
      <w:pPr>
        <w:spacing w:line="360" w:lineRule="auto"/>
        <w:jc w:val="left"/>
        <w:rPr>
          <w:rFonts w:ascii="宋体" w:hAnsi="宋体"/>
          <w:bCs/>
          <w:color w:val="000000"/>
          <w:sz w:val="24"/>
        </w:rPr>
      </w:pPr>
      <w:r>
        <w:rPr>
          <w:rFonts w:hint="eastAsia" w:ascii="宋体" w:hAnsi="宋体"/>
          <w:bCs/>
          <w:color w:val="000000"/>
          <w:sz w:val="24"/>
        </w:rPr>
        <w:t>价格扣除，但不影响供应投标文件的有效性。</w:t>
      </w:r>
    </w:p>
    <w:p>
      <w:pPr>
        <w:spacing w:line="360" w:lineRule="auto"/>
        <w:rPr>
          <w:rFonts w:ascii="宋体" w:hAnsi="宋体"/>
          <w:bCs/>
          <w:color w:val="000000"/>
          <w:sz w:val="24"/>
        </w:rPr>
      </w:pPr>
      <w:r>
        <w:rPr>
          <w:rFonts w:hint="eastAsia" w:ascii="宋体" w:hAnsi="宋体"/>
          <w:bCs/>
          <w:color w:val="000000"/>
          <w:sz w:val="24"/>
        </w:rPr>
        <w:t>③非监狱企业无需提供证明材料。</w:t>
      </w:r>
    </w:p>
    <w:p>
      <w:pPr>
        <w:spacing w:line="588" w:lineRule="exact"/>
        <w:jc w:val="center"/>
        <w:rPr>
          <w:rFonts w:ascii="宋体" w:hAnsi="宋体"/>
          <w:bCs/>
          <w:color w:val="000000"/>
          <w:sz w:val="24"/>
        </w:rPr>
      </w:pPr>
    </w:p>
    <w:p>
      <w:pPr>
        <w:spacing w:line="588" w:lineRule="exact"/>
        <w:jc w:val="center"/>
        <w:rPr>
          <w:rFonts w:ascii="宋体" w:hAnsi="宋体"/>
          <w:bCs/>
          <w:color w:val="000000"/>
          <w:sz w:val="24"/>
        </w:rPr>
      </w:pPr>
    </w:p>
    <w:p>
      <w:pPr>
        <w:spacing w:before="159" w:beforeLines="50" w:line="360" w:lineRule="auto"/>
        <w:ind w:firstLine="626"/>
        <w:jc w:val="center"/>
        <w:outlineLvl w:val="2"/>
        <w:rPr>
          <w:b/>
          <w:color w:val="000000"/>
          <w:sz w:val="32"/>
          <w:szCs w:val="32"/>
        </w:rPr>
      </w:pPr>
      <w:r>
        <w:rPr>
          <w:rFonts w:hint="eastAsia" w:ascii="宋体" w:hAnsi="宋体"/>
          <w:bCs/>
          <w:color w:val="000000"/>
          <w:sz w:val="24"/>
        </w:rPr>
        <w:br w:type="page"/>
      </w:r>
      <w:r>
        <w:rPr>
          <w:rFonts w:hint="eastAsia"/>
          <w:b/>
          <w:color w:val="000000"/>
          <w:sz w:val="32"/>
          <w:szCs w:val="32"/>
        </w:rPr>
        <w:t>十、残疾人福利性单位声明函</w:t>
      </w:r>
    </w:p>
    <w:p>
      <w:pPr>
        <w:spacing w:line="588" w:lineRule="exact"/>
        <w:rPr>
          <w:rFonts w:ascii="仿宋_GB2312" w:eastAsia="仿宋_GB2312"/>
          <w:b/>
          <w:color w:val="000000"/>
          <w:spacing w:val="6"/>
          <w:sz w:val="30"/>
          <w:szCs w:val="30"/>
        </w:rPr>
      </w:pPr>
    </w:p>
    <w:p>
      <w:pPr>
        <w:spacing w:line="400" w:lineRule="exact"/>
        <w:ind w:firstLine="504" w:firstLineChars="200"/>
        <w:rPr>
          <w:rFonts w:ascii="宋体" w:hAnsi="宋体"/>
          <w:color w:val="000000"/>
          <w:spacing w:val="6"/>
          <w:sz w:val="24"/>
        </w:rPr>
      </w:pPr>
      <w:r>
        <w:rPr>
          <w:rFonts w:hint="eastAsia" w:ascii="宋体" w:hAnsi="宋体"/>
          <w:color w:val="000000"/>
          <w:spacing w:val="6"/>
          <w:sz w:val="24"/>
        </w:rPr>
        <w:t>本单位郑重声明，根据《财政部</w:t>
      </w:r>
      <w:r>
        <w:rPr>
          <w:rFonts w:ascii="宋体" w:hAnsi="宋体"/>
          <w:color w:val="000000"/>
          <w:spacing w:val="6"/>
          <w:sz w:val="24"/>
        </w:rPr>
        <w:t xml:space="preserve"> </w:t>
      </w:r>
      <w:r>
        <w:rPr>
          <w:rFonts w:hint="eastAsia" w:ascii="宋体" w:hAnsi="宋体"/>
          <w:color w:val="000000"/>
          <w:spacing w:val="6"/>
          <w:sz w:val="24"/>
        </w:rPr>
        <w:t>民政部</w:t>
      </w:r>
      <w:r>
        <w:rPr>
          <w:rFonts w:ascii="宋体" w:hAnsi="宋体"/>
          <w:color w:val="000000"/>
          <w:spacing w:val="6"/>
          <w:sz w:val="24"/>
        </w:rPr>
        <w:t xml:space="preserve"> </w:t>
      </w:r>
      <w:r>
        <w:rPr>
          <w:rFonts w:hint="eastAsia" w:ascii="宋体" w:hAnsi="宋体"/>
          <w:color w:val="000000"/>
          <w:spacing w:val="6"/>
          <w:sz w:val="24"/>
        </w:rPr>
        <w:t>中国残疾人联合会关于促进残疾人就业政府采购政策的通知》（财库</w:t>
      </w:r>
      <w:r>
        <w:rPr>
          <w:rFonts w:hint="eastAsia" w:ascii="宋体" w:hAnsi="宋体"/>
          <w:color w:val="000000"/>
          <w:sz w:val="24"/>
        </w:rPr>
        <w:t>〔</w:t>
      </w:r>
      <w:r>
        <w:rPr>
          <w:rFonts w:ascii="宋体" w:hAnsi="宋体"/>
          <w:color w:val="000000"/>
          <w:sz w:val="24"/>
        </w:rPr>
        <w:t>2017</w:t>
      </w:r>
      <w:r>
        <w:rPr>
          <w:rFonts w:hint="eastAsia" w:ascii="宋体" w:hAnsi="宋体"/>
          <w:color w:val="000000"/>
          <w:sz w:val="24"/>
        </w:rPr>
        <w:t>〕</w:t>
      </w:r>
      <w:r>
        <w:rPr>
          <w:rFonts w:ascii="宋体" w:hAnsi="宋体"/>
          <w:color w:val="000000"/>
          <w:sz w:val="24"/>
        </w:rPr>
        <w:t xml:space="preserve"> 141</w:t>
      </w:r>
      <w:r>
        <w:rPr>
          <w:rFonts w:hint="eastAsia" w:ascii="宋体" w:hAnsi="宋体"/>
          <w:color w:val="000000"/>
          <w:spacing w:val="6"/>
          <w:sz w:val="24"/>
        </w:rPr>
        <w:t>号）的规定，本单位为符合条件的残疾人福利性单位，且本单位参加</w:t>
      </w:r>
      <w:r>
        <w:rPr>
          <w:rFonts w:hint="eastAsia" w:ascii="宋体" w:hAnsi="宋体"/>
          <w:color w:val="000000"/>
          <w:spacing w:val="6"/>
          <w:sz w:val="24"/>
          <w:u w:val="single"/>
        </w:rPr>
        <w:t xml:space="preserve">     </w:t>
      </w:r>
      <w:r>
        <w:rPr>
          <w:rFonts w:hint="eastAsia" w:ascii="宋体" w:hAnsi="宋体"/>
          <w:color w:val="000000"/>
          <w:spacing w:val="6"/>
          <w:sz w:val="24"/>
        </w:rPr>
        <w:t>单位的</w:t>
      </w:r>
      <w:r>
        <w:rPr>
          <w:rFonts w:hint="eastAsia" w:ascii="宋体" w:hAnsi="宋体"/>
          <w:color w:val="000000"/>
          <w:spacing w:val="6"/>
          <w:sz w:val="24"/>
          <w:u w:val="single"/>
        </w:rPr>
        <w:t xml:space="preserve">     </w:t>
      </w:r>
      <w:r>
        <w:rPr>
          <w:rFonts w:hint="eastAsia" w:ascii="宋体" w:hAnsi="宋体"/>
          <w:color w:val="000000"/>
          <w:spacing w:val="6"/>
          <w:sz w:val="24"/>
        </w:rPr>
        <w:t>项目采购活动提供本单位制造的货物（由本单位承担工程</w:t>
      </w:r>
      <w:r>
        <w:rPr>
          <w:rFonts w:ascii="宋体" w:hAnsi="宋体"/>
          <w:color w:val="000000"/>
          <w:spacing w:val="6"/>
          <w:sz w:val="24"/>
        </w:rPr>
        <w:t>/</w:t>
      </w:r>
      <w:r>
        <w:rPr>
          <w:rFonts w:hint="eastAsia" w:ascii="宋体" w:hAnsi="宋体"/>
          <w:color w:val="000000"/>
          <w:spacing w:val="6"/>
          <w:sz w:val="24"/>
        </w:rPr>
        <w:t>提供服务），或者提供其他残疾人福利性单位制造的货物（不包括使用非残疾人福利性单位注册商标的货物）。</w:t>
      </w:r>
    </w:p>
    <w:p>
      <w:pPr>
        <w:spacing w:line="400" w:lineRule="exact"/>
        <w:ind w:firstLine="504" w:firstLineChars="200"/>
        <w:rPr>
          <w:rFonts w:ascii="宋体" w:hAnsi="宋体"/>
          <w:color w:val="000000"/>
          <w:spacing w:val="6"/>
          <w:sz w:val="24"/>
        </w:rPr>
      </w:pPr>
      <w:r>
        <w:rPr>
          <w:rFonts w:hint="eastAsia" w:ascii="宋体" w:hAnsi="宋体"/>
          <w:color w:val="000000"/>
          <w:spacing w:val="6"/>
          <w:sz w:val="24"/>
        </w:rPr>
        <w:t>本单位对上述声明的真实性负责。如有虚假，将依法承担相应责任。</w:t>
      </w:r>
    </w:p>
    <w:p>
      <w:pPr>
        <w:spacing w:line="588" w:lineRule="exact"/>
        <w:ind w:firstLine="624" w:firstLineChars="200"/>
        <w:rPr>
          <w:rFonts w:ascii="仿宋_GB2312" w:eastAsia="仿宋_GB2312"/>
          <w:color w:val="000000"/>
          <w:spacing w:val="6"/>
          <w:sz w:val="30"/>
          <w:szCs w:val="30"/>
        </w:rPr>
      </w:pPr>
    </w:p>
    <w:p>
      <w:pPr>
        <w:spacing w:line="588" w:lineRule="exact"/>
        <w:ind w:firstLine="624" w:firstLineChars="200"/>
        <w:rPr>
          <w:rFonts w:ascii="仿宋_GB2312" w:eastAsia="仿宋_GB2312"/>
          <w:color w:val="000000"/>
          <w:spacing w:val="6"/>
          <w:sz w:val="30"/>
          <w:szCs w:val="30"/>
        </w:rPr>
      </w:pPr>
    </w:p>
    <w:p>
      <w:pPr>
        <w:widowControl/>
        <w:spacing w:line="400" w:lineRule="exact"/>
        <w:jc w:val="left"/>
        <w:rPr>
          <w:rFonts w:ascii="ˎ̥" w:hAnsi="ˎ̥" w:cs="宋体"/>
          <w:color w:val="000000"/>
          <w:sz w:val="24"/>
        </w:rPr>
      </w:pPr>
      <w:r>
        <w:rPr>
          <w:rFonts w:ascii="仿宋_GB2312" w:eastAsia="仿宋_GB2312"/>
          <w:color w:val="000000"/>
          <w:spacing w:val="6"/>
          <w:sz w:val="30"/>
          <w:szCs w:val="30"/>
        </w:rPr>
        <w:t xml:space="preserve">             </w:t>
      </w:r>
    </w:p>
    <w:p>
      <w:pPr>
        <w:widowControl/>
        <w:spacing w:line="400" w:lineRule="exact"/>
        <w:jc w:val="left"/>
        <w:rPr>
          <w:rFonts w:ascii="ˎ̥" w:hAnsi="ˎ̥" w:cs="宋体"/>
          <w:color w:val="000000"/>
          <w:sz w:val="24"/>
        </w:rPr>
      </w:pPr>
    </w:p>
    <w:p>
      <w:pPr>
        <w:widowControl/>
        <w:spacing w:line="400" w:lineRule="exact"/>
        <w:jc w:val="left"/>
        <w:rPr>
          <w:rFonts w:ascii="ˎ̥" w:hAnsi="ˎ̥" w:cs="宋体"/>
          <w:color w:val="000000"/>
          <w:sz w:val="24"/>
        </w:rPr>
      </w:pPr>
    </w:p>
    <w:p>
      <w:pPr>
        <w:widowControl/>
        <w:spacing w:line="400" w:lineRule="exact"/>
        <w:jc w:val="left"/>
        <w:rPr>
          <w:rFonts w:ascii="ˎ̥" w:hAnsi="ˎ̥" w:cs="宋体"/>
          <w:color w:val="000000"/>
          <w:sz w:val="24"/>
        </w:rPr>
      </w:pPr>
    </w:p>
    <w:p>
      <w:pPr>
        <w:spacing w:line="360" w:lineRule="auto"/>
        <w:jc w:val="left"/>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rPr>
          <w:color w:val="000000"/>
          <w:sz w:val="24"/>
        </w:rPr>
      </w:pPr>
      <w:r>
        <w:rPr>
          <w:rFonts w:hint="eastAsia"/>
          <w:color w:val="000000"/>
          <w:sz w:val="24"/>
        </w:rPr>
        <w:t>法定代表人/单位负责人/授权代表</w:t>
      </w:r>
      <w:r>
        <w:rPr>
          <w:rFonts w:hint="eastAsia" w:ascii="宋体" w:hAnsi="宋体" w:cs="宋体"/>
          <w:color w:val="000000"/>
          <w:sz w:val="24"/>
        </w:rPr>
        <w:t>（签字或加盖个人名章）</w:t>
      </w:r>
      <w:r>
        <w:rPr>
          <w:rFonts w:hint="eastAsia"/>
          <w:color w:val="000000"/>
          <w:sz w:val="24"/>
        </w:rPr>
        <w:t>：</w:t>
      </w:r>
      <w:r>
        <w:rPr>
          <w:rFonts w:hint="eastAsia" w:ascii="宋体" w:hAnsi="宋体"/>
          <w:color w:val="000000"/>
          <w:sz w:val="24"/>
          <w:u w:val="single"/>
        </w:rPr>
        <w:t xml:space="preserve">           </w:t>
      </w:r>
    </w:p>
    <w:p>
      <w:pPr>
        <w:spacing w:line="360" w:lineRule="auto"/>
        <w:rPr>
          <w:color w:val="000000"/>
          <w:sz w:val="24"/>
        </w:rPr>
      </w:pPr>
      <w:r>
        <w:rPr>
          <w:rFonts w:hint="eastAsia"/>
          <w:color w:val="000000"/>
          <w:sz w:val="24"/>
        </w:rPr>
        <w:t>日      期：</w:t>
      </w:r>
      <w:r>
        <w:rPr>
          <w:rFonts w:hint="eastAsia" w:ascii="宋体" w:hAnsi="宋体"/>
          <w:color w:val="000000"/>
          <w:sz w:val="24"/>
          <w:u w:val="single"/>
        </w:rPr>
        <w:t xml:space="preserve">      </w:t>
      </w:r>
      <w:r>
        <w:rPr>
          <w:rFonts w:hint="eastAsia"/>
          <w:color w:val="000000"/>
          <w:sz w:val="24"/>
        </w:rPr>
        <w:t>年</w:t>
      </w:r>
      <w:r>
        <w:rPr>
          <w:rFonts w:hint="eastAsia" w:ascii="宋体" w:hAnsi="宋体"/>
          <w:color w:val="000000"/>
          <w:sz w:val="24"/>
          <w:u w:val="single"/>
        </w:rPr>
        <w:t xml:space="preserve">   </w:t>
      </w:r>
      <w:r>
        <w:rPr>
          <w:rFonts w:hint="eastAsia"/>
          <w:color w:val="000000"/>
          <w:sz w:val="24"/>
        </w:rPr>
        <w:t>月</w:t>
      </w:r>
      <w:r>
        <w:rPr>
          <w:rFonts w:hint="eastAsia" w:ascii="宋体" w:hAnsi="宋体"/>
          <w:color w:val="000000"/>
          <w:sz w:val="24"/>
          <w:u w:val="single"/>
        </w:rPr>
        <w:t xml:space="preserve">   </w:t>
      </w:r>
      <w:r>
        <w:rPr>
          <w:rFonts w:hint="eastAsia"/>
          <w:color w:val="000000"/>
          <w:sz w:val="24"/>
        </w:rPr>
        <w:t xml:space="preserve">日 </w:t>
      </w:r>
    </w:p>
    <w:p>
      <w:pPr>
        <w:spacing w:line="360" w:lineRule="auto"/>
        <w:rPr>
          <w:color w:val="000000"/>
          <w:sz w:val="24"/>
        </w:rPr>
      </w:pPr>
    </w:p>
    <w:p>
      <w:pPr>
        <w:pStyle w:val="21"/>
        <w:spacing w:after="0" w:line="360" w:lineRule="auto"/>
        <w:rPr>
          <w:color w:val="000000"/>
          <w:sz w:val="18"/>
        </w:rPr>
      </w:pPr>
      <w:r>
        <w:rPr>
          <w:rFonts w:hint="eastAsia" w:ascii="宋体" w:hAnsi="宋体" w:cs="宋体"/>
          <w:color w:val="000000"/>
        </w:rPr>
        <w:t>注：</w:t>
      </w:r>
      <w:r>
        <w:rPr>
          <w:rFonts w:ascii="宋体" w:hAnsi="宋体" w:cs="宋体"/>
          <w:color w:val="000000"/>
        </w:rPr>
        <w:t>1、残疾人福利性单位视同小型、微型企业，享受预留份额、评审中价格扣除等促进中小企业发展的政府采购政策。残疾人福利性单位属于小型、微型企业的，不重复享受政策。</w:t>
      </w:r>
    </w:p>
    <w:p>
      <w:pPr>
        <w:spacing w:line="360" w:lineRule="auto"/>
        <w:ind w:firstLine="482"/>
        <w:rPr>
          <w:rFonts w:ascii="宋体" w:hAnsi="宋体" w:cs="宋体"/>
          <w:color w:val="000000"/>
        </w:rPr>
      </w:pPr>
      <w:r>
        <w:rPr>
          <w:rFonts w:ascii="宋体" w:hAnsi="宋体" w:cs="宋体"/>
          <w:color w:val="000000"/>
        </w:rPr>
        <w:t>2、投标人为非残疾人福利性单位的</w:t>
      </w:r>
      <w:r>
        <w:rPr>
          <w:rFonts w:hint="eastAsia" w:ascii="宋体" w:hAnsi="宋体" w:cs="宋体"/>
          <w:color w:val="000000"/>
        </w:rPr>
        <w:t>，</w:t>
      </w:r>
      <w:r>
        <w:rPr>
          <w:rFonts w:ascii="宋体" w:hAnsi="宋体" w:cs="宋体"/>
          <w:color w:val="000000"/>
        </w:rPr>
        <w:t>不需要提供此声明</w:t>
      </w:r>
      <w:r>
        <w:rPr>
          <w:rFonts w:hint="eastAsia" w:ascii="宋体" w:hAnsi="宋体" w:cs="宋体"/>
          <w:color w:val="000000"/>
        </w:rPr>
        <w:t>。</w:t>
      </w:r>
      <w:r>
        <w:rPr>
          <w:rFonts w:ascii="宋体" w:hAnsi="宋体" w:cs="宋体"/>
          <w:color w:val="000000"/>
        </w:rPr>
        <w:t>投标人为残疾人福利性单位的</w:t>
      </w:r>
      <w:r>
        <w:rPr>
          <w:rFonts w:hint="eastAsia" w:ascii="宋体" w:hAnsi="宋体" w:cs="宋体"/>
          <w:color w:val="000000"/>
        </w:rPr>
        <w:t>，</w:t>
      </w:r>
      <w:r>
        <w:rPr>
          <w:rFonts w:ascii="宋体" w:hAnsi="宋体" w:cs="宋体"/>
          <w:color w:val="000000"/>
        </w:rPr>
        <w:t>未提供本声明的</w:t>
      </w:r>
      <w:r>
        <w:rPr>
          <w:rFonts w:hint="eastAsia" w:ascii="宋体" w:hAnsi="宋体" w:cs="宋体"/>
          <w:color w:val="000000"/>
        </w:rPr>
        <w:t>，</w:t>
      </w:r>
      <w:r>
        <w:rPr>
          <w:rFonts w:ascii="宋体" w:hAnsi="宋体" w:cs="宋体"/>
          <w:color w:val="000000"/>
        </w:rPr>
        <w:t>不影响投标文件的有效性。</w:t>
      </w:r>
    </w:p>
    <w:p>
      <w:pPr>
        <w:spacing w:before="159" w:beforeLines="50" w:line="360" w:lineRule="auto"/>
        <w:jc w:val="center"/>
        <w:outlineLvl w:val="2"/>
        <w:rPr>
          <w:rFonts w:ascii="宋体" w:hAnsi="宋体" w:cs="宋体"/>
          <w:bCs/>
          <w:color w:val="000000"/>
          <w:sz w:val="24"/>
          <w:u w:val="single"/>
        </w:rPr>
      </w:pPr>
      <w:r>
        <w:rPr>
          <w:rFonts w:hint="eastAsia" w:ascii="宋体" w:hAnsi="宋体" w:cs="宋体"/>
          <w:color w:val="000000"/>
          <w:sz w:val="24"/>
        </w:rPr>
        <w:br w:type="page"/>
      </w:r>
      <w:r>
        <w:rPr>
          <w:rFonts w:hint="eastAsia"/>
          <w:b/>
          <w:color w:val="000000"/>
          <w:sz w:val="32"/>
          <w:szCs w:val="32"/>
        </w:rPr>
        <w:t>十一、其他实质性要求应答</w:t>
      </w:r>
    </w:p>
    <w:p>
      <w:pPr>
        <w:keepNext w:val="0"/>
        <w:keepLines w:val="0"/>
        <w:pageBreakBefore w:val="0"/>
        <w:kinsoku/>
        <w:wordWrap/>
        <w:overflowPunct/>
        <w:topLinePunct w:val="0"/>
        <w:autoSpaceDE/>
        <w:autoSpaceDN/>
        <w:bidi w:val="0"/>
        <w:snapToGrid/>
        <w:spacing w:before="159" w:beforeLines="50" w:after="159" w:afterLines="50" w:line="312" w:lineRule="auto"/>
        <w:jc w:val="left"/>
        <w:textAlignment w:val="auto"/>
        <w:rPr>
          <w:rFonts w:ascii="宋体" w:hAnsi="宋体" w:cs="宋体"/>
          <w:color w:val="000000"/>
          <w:sz w:val="24"/>
        </w:rPr>
      </w:pPr>
      <w:r>
        <w:rPr>
          <w:rFonts w:hint="eastAsia" w:ascii="宋体" w:hAnsi="宋体" w:cs="宋体"/>
          <w:bCs/>
          <w:color w:val="000000"/>
          <w:sz w:val="24"/>
          <w:u w:val="single"/>
        </w:rPr>
        <w:t xml:space="preserve">                  </w:t>
      </w:r>
      <w:r>
        <w:rPr>
          <w:rFonts w:hint="eastAsia" w:ascii="宋体" w:hAnsi="宋体" w:cs="宋体"/>
          <w:color w:val="000000"/>
          <w:sz w:val="24"/>
        </w:rPr>
        <w:t xml:space="preserve"> （采购代理机构名称）：</w:t>
      </w:r>
    </w:p>
    <w:p>
      <w:pPr>
        <w:keepNext w:val="0"/>
        <w:keepLines w:val="0"/>
        <w:pageBreakBefore w:val="0"/>
        <w:kinsoku/>
        <w:wordWrap/>
        <w:overflowPunct/>
        <w:topLinePunct w:val="0"/>
        <w:autoSpaceDE/>
        <w:autoSpaceDN/>
        <w:bidi w:val="0"/>
        <w:snapToGrid/>
        <w:spacing w:before="159" w:beforeLines="50" w:after="120" w:line="312"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我方作为本次采购项目的投标人，根据招标文件中规定的实质性要求，现郑重承诺如下：</w:t>
      </w:r>
    </w:p>
    <w:p>
      <w:pPr>
        <w:keepNext w:val="0"/>
        <w:keepLines w:val="0"/>
        <w:pageBreakBefore w:val="0"/>
        <w:kinsoku/>
        <w:wordWrap/>
        <w:overflowPunct/>
        <w:topLinePunct w:val="0"/>
        <w:autoSpaceDE/>
        <w:autoSpaceDN/>
        <w:bidi w:val="0"/>
        <w:snapToGrid/>
        <w:spacing w:before="159" w:beforeLines="50" w:after="120" w:line="312"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1.国家或行业主管部门对采购标的的技术标准、质量标准和资格资质条件等有强制性规定的，我方承诺符合其要求。</w:t>
      </w:r>
    </w:p>
    <w:p>
      <w:pPr>
        <w:keepNext w:val="0"/>
        <w:keepLines w:val="0"/>
        <w:pageBreakBefore w:val="0"/>
        <w:kinsoku/>
        <w:wordWrap/>
        <w:overflowPunct/>
        <w:topLinePunct w:val="0"/>
        <w:autoSpaceDE/>
        <w:autoSpaceDN/>
        <w:bidi w:val="0"/>
        <w:snapToGrid/>
        <w:spacing w:before="159" w:beforeLines="50" w:after="120" w:line="312"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2.参加本次政府采购活动，我方完全同意招标文件第二章关于“投标报价”“投标费用”“合同分包” “合同转包”等的实质性要求，并承诺严格按照招标文件要求履行。</w:t>
      </w:r>
    </w:p>
    <w:p>
      <w:pPr>
        <w:keepNext w:val="0"/>
        <w:keepLines w:val="0"/>
        <w:pageBreakBefore w:val="0"/>
        <w:kinsoku/>
        <w:wordWrap/>
        <w:overflowPunct/>
        <w:topLinePunct w:val="0"/>
        <w:autoSpaceDE/>
        <w:autoSpaceDN/>
        <w:bidi w:val="0"/>
        <w:snapToGrid/>
        <w:spacing w:before="159" w:beforeLines="50" w:after="120" w:line="312"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3.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报价中已包括合法获取该知识产权的相关费用。</w:t>
      </w:r>
    </w:p>
    <w:p>
      <w:pPr>
        <w:keepNext w:val="0"/>
        <w:keepLines w:val="0"/>
        <w:pageBreakBefore w:val="0"/>
        <w:kinsoku/>
        <w:wordWrap/>
        <w:overflowPunct/>
        <w:topLinePunct w:val="0"/>
        <w:autoSpaceDE/>
        <w:autoSpaceDN/>
        <w:bidi w:val="0"/>
        <w:snapToGrid/>
        <w:spacing w:before="159" w:beforeLines="50" w:after="120" w:line="312"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4.我方不存在与其他供应商在同一合同项下的采购项目中，委托同一个自然人、同一家庭的人员、同一单位的人员作为其授权代表的行为；</w:t>
      </w:r>
    </w:p>
    <w:p>
      <w:pPr>
        <w:keepNext w:val="0"/>
        <w:keepLines w:val="0"/>
        <w:pageBreakBefore w:val="0"/>
        <w:kinsoku/>
        <w:wordWrap/>
        <w:overflowPunct/>
        <w:topLinePunct w:val="0"/>
        <w:autoSpaceDE/>
        <w:autoSpaceDN/>
        <w:bidi w:val="0"/>
        <w:snapToGrid/>
        <w:spacing w:line="312" w:lineRule="auto"/>
        <w:ind w:right="20" w:firstLine="480"/>
        <w:textAlignment w:val="auto"/>
        <w:rPr>
          <w:rFonts w:eastAsia="Times New Roman"/>
          <w:color w:val="000000"/>
        </w:rPr>
      </w:pPr>
      <w:r>
        <w:rPr>
          <w:rFonts w:hint="eastAsia" w:ascii="宋体" w:hAnsi="宋体"/>
          <w:color w:val="000000"/>
          <w:sz w:val="24"/>
        </w:rPr>
        <w:t>5.我方不存在</w:t>
      </w:r>
      <w:r>
        <w:rPr>
          <w:rFonts w:ascii="宋体" w:hAnsi="宋体"/>
          <w:color w:val="000000"/>
          <w:sz w:val="24"/>
        </w:rPr>
        <w:t>实际控制人或者中高级管理人员，同时是采购代理机构工作人员</w:t>
      </w:r>
      <w:r>
        <w:rPr>
          <w:rFonts w:hint="eastAsia" w:ascii="宋体" w:hAnsi="宋体"/>
          <w:color w:val="000000"/>
          <w:sz w:val="24"/>
        </w:rPr>
        <w:t>的</w:t>
      </w:r>
      <w:r>
        <w:rPr>
          <w:rFonts w:ascii="宋体" w:hAnsi="宋体"/>
          <w:color w:val="000000"/>
          <w:sz w:val="24"/>
        </w:rPr>
        <w:t>情况</w:t>
      </w:r>
      <w:r>
        <w:rPr>
          <w:rFonts w:hint="eastAsia" w:ascii="宋体" w:hAnsi="宋体"/>
          <w:color w:val="000000"/>
          <w:sz w:val="24"/>
        </w:rPr>
        <w:t>；</w:t>
      </w:r>
    </w:p>
    <w:p>
      <w:pPr>
        <w:keepNext w:val="0"/>
        <w:keepLines w:val="0"/>
        <w:pageBreakBefore w:val="0"/>
        <w:kinsoku/>
        <w:wordWrap/>
        <w:overflowPunct/>
        <w:topLinePunct w:val="0"/>
        <w:autoSpaceDE/>
        <w:autoSpaceDN/>
        <w:bidi w:val="0"/>
        <w:snapToGrid/>
        <w:spacing w:line="312" w:lineRule="auto"/>
        <w:ind w:right="260" w:firstLine="480"/>
        <w:textAlignment w:val="auto"/>
        <w:rPr>
          <w:rFonts w:eastAsia="Times New Roman"/>
          <w:color w:val="000000"/>
        </w:rPr>
      </w:pPr>
      <w:r>
        <w:rPr>
          <w:rFonts w:hint="eastAsia" w:ascii="宋体" w:hAnsi="宋体"/>
          <w:color w:val="000000"/>
          <w:sz w:val="24"/>
        </w:rPr>
        <w:t>6.我方不存在与</w:t>
      </w:r>
      <w:r>
        <w:rPr>
          <w:rFonts w:ascii="宋体" w:hAnsi="宋体"/>
          <w:color w:val="000000"/>
          <w:sz w:val="24"/>
        </w:rPr>
        <w:t>同一母公司</w:t>
      </w:r>
      <w:r>
        <w:rPr>
          <w:rFonts w:hint="eastAsia" w:ascii="宋体" w:hAnsi="宋体"/>
          <w:color w:val="000000"/>
          <w:sz w:val="24"/>
        </w:rPr>
        <w:t>其他</w:t>
      </w:r>
      <w:r>
        <w:rPr>
          <w:rFonts w:ascii="宋体" w:hAnsi="宋体"/>
          <w:color w:val="000000"/>
          <w:sz w:val="24"/>
        </w:rPr>
        <w:t>子公司以不同供应商身份同时参加本项目同一合同项下的采购活动的行为</w:t>
      </w:r>
      <w:r>
        <w:rPr>
          <w:rFonts w:hint="eastAsia" w:ascii="宋体" w:hAnsi="宋体"/>
          <w:color w:val="000000"/>
          <w:sz w:val="24"/>
        </w:rPr>
        <w:t>；</w:t>
      </w:r>
    </w:p>
    <w:p>
      <w:pPr>
        <w:keepNext w:val="0"/>
        <w:keepLines w:val="0"/>
        <w:pageBreakBefore w:val="0"/>
        <w:kinsoku/>
        <w:wordWrap/>
        <w:overflowPunct/>
        <w:topLinePunct w:val="0"/>
        <w:autoSpaceDE/>
        <w:autoSpaceDN/>
        <w:bidi w:val="0"/>
        <w:snapToGrid/>
        <w:spacing w:line="312" w:lineRule="auto"/>
        <w:ind w:right="20" w:firstLine="480"/>
        <w:textAlignment w:val="auto"/>
        <w:rPr>
          <w:rFonts w:ascii="宋体" w:hAnsi="宋体"/>
          <w:color w:val="000000"/>
          <w:sz w:val="24"/>
        </w:rPr>
      </w:pPr>
      <w:r>
        <w:rPr>
          <w:rFonts w:hint="eastAsia" w:ascii="宋体" w:hAnsi="宋体"/>
          <w:color w:val="000000"/>
          <w:sz w:val="24"/>
        </w:rPr>
        <w:t>7.我方</w:t>
      </w:r>
      <w:r>
        <w:rPr>
          <w:rFonts w:ascii="宋体" w:hAnsi="宋体"/>
          <w:color w:val="000000"/>
          <w:sz w:val="24"/>
        </w:rPr>
        <w:t>与采购代理机构不存在关联关系，</w:t>
      </w:r>
      <w:r>
        <w:rPr>
          <w:rFonts w:hint="eastAsia" w:ascii="宋体" w:hAnsi="宋体"/>
          <w:color w:val="000000"/>
          <w:sz w:val="24"/>
        </w:rPr>
        <w:t>不</w:t>
      </w:r>
      <w:r>
        <w:rPr>
          <w:rFonts w:ascii="宋体" w:hAnsi="宋体"/>
          <w:color w:val="000000"/>
          <w:sz w:val="24"/>
        </w:rPr>
        <w:t>是采购代理机构的母公司或子公司。</w:t>
      </w:r>
    </w:p>
    <w:p>
      <w:pPr>
        <w:keepNext w:val="0"/>
        <w:keepLines w:val="0"/>
        <w:pageBreakBefore w:val="0"/>
        <w:kinsoku/>
        <w:wordWrap/>
        <w:overflowPunct/>
        <w:topLinePunct w:val="0"/>
        <w:autoSpaceDE/>
        <w:autoSpaceDN/>
        <w:bidi w:val="0"/>
        <w:snapToGrid/>
        <w:spacing w:before="159" w:beforeLines="50" w:after="120" w:line="312" w:lineRule="auto"/>
        <w:ind w:firstLine="482" w:firstLineChars="200"/>
        <w:jc w:val="left"/>
        <w:textAlignment w:val="auto"/>
        <w:rPr>
          <w:rFonts w:ascii="宋体" w:hAnsi="宋体" w:cs="宋体"/>
          <w:b/>
          <w:color w:val="000000"/>
          <w:sz w:val="24"/>
        </w:rPr>
      </w:pPr>
      <w:r>
        <w:rPr>
          <w:rFonts w:hint="eastAsia" w:ascii="宋体" w:hAnsi="宋体" w:cs="宋体"/>
          <w:b/>
          <w:color w:val="000000"/>
          <w:sz w:val="24"/>
        </w:rPr>
        <w:t>8.我方已对投标文件中涉及商业秘密和知识产权的内容进行标注和说明，若未进行标注和说明的，视为投标文件全部内容均可公布，采购人或者采购代理机构对相关内容予以公告不承担任何责任。</w:t>
      </w:r>
    </w:p>
    <w:p>
      <w:pPr>
        <w:keepNext w:val="0"/>
        <w:keepLines w:val="0"/>
        <w:pageBreakBefore w:val="0"/>
        <w:kinsoku/>
        <w:wordWrap/>
        <w:overflowPunct/>
        <w:topLinePunct w:val="0"/>
        <w:autoSpaceDE/>
        <w:autoSpaceDN/>
        <w:bidi w:val="0"/>
        <w:adjustRightInd w:val="0"/>
        <w:snapToGrid/>
        <w:spacing w:line="312" w:lineRule="auto"/>
        <w:ind w:firstLine="480" w:firstLineChars="200"/>
        <w:jc w:val="left"/>
        <w:textAlignment w:val="auto"/>
        <w:rPr>
          <w:rFonts w:ascii="宋体" w:hAnsi="宋体" w:cs="宋体"/>
          <w:b/>
          <w:bCs/>
          <w:color w:val="000000"/>
          <w:sz w:val="24"/>
        </w:rPr>
      </w:pPr>
      <w:r>
        <w:rPr>
          <w:rFonts w:hint="eastAsia" w:ascii="宋体" w:hAnsi="宋体" w:cs="宋体"/>
          <w:color w:val="000000"/>
          <w:sz w:val="24"/>
        </w:rPr>
        <w:t>9、我方在投标截止日前被财政部门记入诚信档案的且在有效期内的失信行为的有</w:t>
      </w:r>
      <w:r>
        <w:rPr>
          <w:rFonts w:hint="eastAsia" w:ascii="宋体" w:hAnsi="宋体" w:cs="宋体"/>
          <w:color w:val="000000"/>
          <w:sz w:val="24"/>
          <w:u w:val="single"/>
        </w:rPr>
        <w:t xml:space="preserve">   </w:t>
      </w:r>
      <w:r>
        <w:rPr>
          <w:rFonts w:hint="eastAsia" w:ascii="宋体" w:hAnsi="宋体" w:cs="宋体"/>
          <w:color w:val="000000"/>
          <w:sz w:val="24"/>
        </w:rPr>
        <w:t>次</w:t>
      </w:r>
      <w:r>
        <w:rPr>
          <w:rFonts w:hint="eastAsia" w:ascii="宋体" w:hAnsi="宋体" w:cs="宋体"/>
          <w:b/>
          <w:bCs/>
          <w:color w:val="000000"/>
          <w:sz w:val="24"/>
        </w:rPr>
        <w:t>（</w:t>
      </w:r>
      <w:r>
        <w:rPr>
          <w:rFonts w:hint="eastAsia" w:hAnsi="宋体" w:cs="宋体"/>
          <w:b/>
          <w:bCs/>
          <w:color w:val="000000"/>
          <w:sz w:val="24"/>
        </w:rPr>
        <w:t>建议</w:t>
      </w:r>
      <w:r>
        <w:rPr>
          <w:rFonts w:hint="eastAsia" w:ascii="宋体" w:hAnsi="宋体" w:cs="宋体"/>
          <w:b/>
          <w:bCs/>
          <w:color w:val="000000"/>
          <w:sz w:val="24"/>
        </w:rPr>
        <w:t>使用大写数字，如零、壹、贰、叁</w:t>
      </w:r>
      <w:r>
        <w:rPr>
          <w:rFonts w:hint="eastAsia" w:hAnsi="宋体" w:cs="宋体"/>
          <w:b/>
          <w:bCs/>
          <w:color w:val="000000"/>
          <w:sz w:val="24"/>
        </w:rPr>
        <w:t>……</w:t>
      </w:r>
      <w:r>
        <w:rPr>
          <w:rFonts w:hint="eastAsia" w:ascii="宋体" w:hAnsi="宋体" w:cs="宋体"/>
          <w:b/>
          <w:bCs/>
          <w:color w:val="000000"/>
          <w:sz w:val="24"/>
        </w:rPr>
        <w:t>）</w:t>
      </w:r>
      <w:r>
        <w:rPr>
          <w:rFonts w:hint="eastAsia" w:ascii="宋体" w:hAnsi="宋体" w:cs="宋体"/>
          <w:color w:val="000000"/>
          <w:sz w:val="24"/>
        </w:rPr>
        <w:t>。在投标截止日前被工商部门、税务部门、审判机关及其他有关部门单位认定且处于有效期内的失信行为的有</w:t>
      </w:r>
      <w:r>
        <w:rPr>
          <w:rFonts w:hint="eastAsia" w:ascii="宋体" w:hAnsi="宋体" w:cs="宋体"/>
          <w:color w:val="000000"/>
          <w:sz w:val="24"/>
          <w:u w:val="single"/>
        </w:rPr>
        <w:t xml:space="preserve">    </w:t>
      </w:r>
      <w:r>
        <w:rPr>
          <w:rFonts w:hint="eastAsia" w:ascii="宋体" w:hAnsi="宋体" w:cs="宋体"/>
          <w:color w:val="000000"/>
          <w:sz w:val="24"/>
        </w:rPr>
        <w:t>次</w:t>
      </w:r>
      <w:r>
        <w:rPr>
          <w:rFonts w:hint="eastAsia" w:ascii="宋体" w:hAnsi="宋体" w:cs="宋体"/>
          <w:b/>
          <w:bCs/>
          <w:color w:val="000000"/>
          <w:sz w:val="24"/>
        </w:rPr>
        <w:t>（</w:t>
      </w:r>
      <w:r>
        <w:rPr>
          <w:rFonts w:hint="eastAsia" w:hAnsi="宋体" w:cs="宋体"/>
          <w:b/>
          <w:bCs/>
          <w:color w:val="000000"/>
          <w:sz w:val="24"/>
        </w:rPr>
        <w:t>建议</w:t>
      </w:r>
      <w:r>
        <w:rPr>
          <w:rFonts w:hint="eastAsia" w:ascii="宋体" w:hAnsi="宋体" w:cs="宋体"/>
          <w:b/>
          <w:bCs/>
          <w:color w:val="000000"/>
          <w:sz w:val="24"/>
        </w:rPr>
        <w:t>使用大写数字，如零、壹、贰、叁</w:t>
      </w:r>
      <w:r>
        <w:rPr>
          <w:rFonts w:hint="eastAsia" w:hAnsi="宋体" w:cs="宋体"/>
          <w:b/>
          <w:bCs/>
          <w:color w:val="000000"/>
          <w:sz w:val="24"/>
        </w:rPr>
        <w:t>……</w:t>
      </w:r>
      <w:r>
        <w:rPr>
          <w:rFonts w:hint="eastAsia" w:ascii="宋体" w:hAnsi="宋体" w:cs="宋体"/>
          <w:b/>
          <w:bCs/>
          <w:color w:val="000000"/>
          <w:sz w:val="24"/>
        </w:rPr>
        <w:t>）</w:t>
      </w:r>
      <w:r>
        <w:rPr>
          <w:rFonts w:hint="eastAsia" w:ascii="宋体" w:hAnsi="宋体" w:cs="宋体"/>
          <w:color w:val="000000"/>
          <w:sz w:val="24"/>
        </w:rPr>
        <w:t>。</w:t>
      </w:r>
      <w:r>
        <w:rPr>
          <w:rFonts w:hint="eastAsia" w:hAnsi="宋体" w:cs="宋体"/>
          <w:color w:val="000000"/>
          <w:sz w:val="24"/>
        </w:rPr>
        <w:t>根据</w:t>
      </w:r>
      <w:r>
        <w:rPr>
          <w:rFonts w:hint="eastAsia" w:hAnsi="宋体"/>
          <w:color w:val="000000"/>
          <w:sz w:val="24"/>
        </w:rPr>
        <w:t>《四川省政府采购当事人诚信管理办法》（川财采〔2015〕33号）的规定，</w:t>
      </w:r>
      <w:r>
        <w:rPr>
          <w:rFonts w:hint="eastAsia" w:ascii="宋体" w:hAnsi="宋体" w:cs="宋体"/>
          <w:color w:val="000000"/>
          <w:sz w:val="24"/>
        </w:rPr>
        <w:t>在投标截止</w:t>
      </w:r>
      <w:r>
        <w:rPr>
          <w:rFonts w:hint="eastAsia" w:hAnsi="宋体" w:cs="宋体"/>
          <w:color w:val="000000"/>
          <w:sz w:val="24"/>
        </w:rPr>
        <w:t>日仍在有效期内</w:t>
      </w:r>
      <w:r>
        <w:rPr>
          <w:rFonts w:hint="eastAsia" w:hAnsi="宋体"/>
          <w:color w:val="000000"/>
          <w:sz w:val="24"/>
        </w:rPr>
        <w:t>的失信行为</w:t>
      </w:r>
      <w:r>
        <w:rPr>
          <w:rFonts w:hint="eastAsia" w:hAnsi="宋体"/>
          <w:color w:val="000000"/>
          <w:sz w:val="24"/>
          <w:u w:val="single"/>
        </w:rPr>
        <w:t xml:space="preserve">    </w:t>
      </w:r>
      <w:r>
        <w:rPr>
          <w:rFonts w:hint="eastAsia" w:hAnsi="宋体"/>
          <w:color w:val="000000"/>
          <w:sz w:val="24"/>
        </w:rPr>
        <w:t>次</w:t>
      </w:r>
      <w:r>
        <w:rPr>
          <w:rFonts w:hint="eastAsia" w:ascii="宋体" w:hAnsi="宋体" w:cs="宋体"/>
          <w:b/>
          <w:bCs/>
          <w:color w:val="000000"/>
          <w:sz w:val="24"/>
        </w:rPr>
        <w:t>（</w:t>
      </w:r>
      <w:r>
        <w:rPr>
          <w:rFonts w:hint="eastAsia" w:hAnsi="宋体" w:cs="宋体"/>
          <w:b/>
          <w:bCs/>
          <w:color w:val="000000"/>
          <w:sz w:val="24"/>
        </w:rPr>
        <w:t>建议</w:t>
      </w:r>
      <w:r>
        <w:rPr>
          <w:rFonts w:hint="eastAsia" w:ascii="宋体" w:hAnsi="宋体" w:cs="宋体"/>
          <w:b/>
          <w:bCs/>
          <w:color w:val="000000"/>
          <w:sz w:val="24"/>
        </w:rPr>
        <w:t>使用大写数字，如零、壹、贰、叁</w:t>
      </w:r>
      <w:r>
        <w:rPr>
          <w:rFonts w:hint="eastAsia" w:hAnsi="宋体" w:cs="宋体"/>
          <w:b/>
          <w:bCs/>
          <w:color w:val="000000"/>
          <w:sz w:val="24"/>
        </w:rPr>
        <w:t>……</w:t>
      </w:r>
      <w:r>
        <w:rPr>
          <w:rFonts w:hint="eastAsia" w:ascii="宋体" w:hAnsi="宋体" w:cs="宋体"/>
          <w:b/>
          <w:bCs/>
          <w:color w:val="000000"/>
          <w:sz w:val="24"/>
        </w:rPr>
        <w:t>）。</w:t>
      </w:r>
    </w:p>
    <w:p>
      <w:pPr>
        <w:keepNext w:val="0"/>
        <w:keepLines w:val="0"/>
        <w:pageBreakBefore w:val="0"/>
        <w:kinsoku/>
        <w:wordWrap/>
        <w:overflowPunct/>
        <w:topLinePunct w:val="0"/>
        <w:autoSpaceDE/>
        <w:autoSpaceDN/>
        <w:bidi w:val="0"/>
        <w:snapToGrid/>
        <w:spacing w:line="312" w:lineRule="auto"/>
        <w:ind w:firstLine="480" w:firstLineChars="200"/>
        <w:textAlignment w:val="auto"/>
        <w:rPr>
          <w:rFonts w:ascii="宋体" w:hAnsi="宋体"/>
          <w:bCs/>
          <w:color w:val="000000"/>
          <w:sz w:val="24"/>
        </w:rPr>
      </w:pPr>
    </w:p>
    <w:p>
      <w:pPr>
        <w:keepNext w:val="0"/>
        <w:keepLines w:val="0"/>
        <w:pageBreakBefore w:val="0"/>
        <w:kinsoku/>
        <w:wordWrap/>
        <w:overflowPunct/>
        <w:topLinePunct w:val="0"/>
        <w:autoSpaceDE/>
        <w:autoSpaceDN/>
        <w:bidi w:val="0"/>
        <w:adjustRightInd w:val="0"/>
        <w:snapToGrid/>
        <w:spacing w:line="312" w:lineRule="auto"/>
        <w:ind w:firstLine="480" w:firstLineChars="200"/>
        <w:jc w:val="left"/>
        <w:textAlignment w:val="auto"/>
        <w:rPr>
          <w:rFonts w:ascii="宋体"/>
          <w:bCs/>
          <w:color w:val="000000"/>
          <w:sz w:val="24"/>
        </w:rPr>
      </w:pPr>
      <w:r>
        <w:rPr>
          <w:rFonts w:hint="eastAsia" w:ascii="宋体" w:hAnsi="宋体"/>
          <w:color w:val="000000"/>
          <w:sz w:val="24"/>
        </w:rPr>
        <w:t>我方对上述承诺的内容事项真实性负责。如经查实上述承诺的内容事项存在虚假，我方愿意接受以提供虚假材料谋取成交追究法律责任。</w:t>
      </w:r>
    </w:p>
    <w:p>
      <w:pPr>
        <w:keepNext w:val="0"/>
        <w:keepLines w:val="0"/>
        <w:pageBreakBefore w:val="0"/>
        <w:kinsoku/>
        <w:wordWrap/>
        <w:overflowPunct/>
        <w:topLinePunct w:val="0"/>
        <w:autoSpaceDE/>
        <w:autoSpaceDN/>
        <w:bidi w:val="0"/>
        <w:snapToGrid/>
        <w:spacing w:line="312" w:lineRule="auto"/>
        <w:ind w:firstLine="480"/>
        <w:textAlignment w:val="auto"/>
        <w:rPr>
          <w:rFonts w:ascii="宋体"/>
          <w:color w:val="000000"/>
          <w:sz w:val="24"/>
        </w:rPr>
      </w:pPr>
    </w:p>
    <w:p>
      <w:pPr>
        <w:keepNext w:val="0"/>
        <w:keepLines w:val="0"/>
        <w:pageBreakBefore w:val="0"/>
        <w:kinsoku/>
        <w:wordWrap/>
        <w:overflowPunct/>
        <w:topLinePunct w:val="0"/>
        <w:autoSpaceDE/>
        <w:autoSpaceDN/>
        <w:bidi w:val="0"/>
        <w:adjustRightInd w:val="0"/>
        <w:snapToGrid/>
        <w:spacing w:line="312" w:lineRule="auto"/>
        <w:ind w:firstLine="480" w:firstLineChars="200"/>
        <w:jc w:val="left"/>
        <w:textAlignment w:val="auto"/>
        <w:rPr>
          <w:rFonts w:ascii="宋体"/>
          <w:color w:val="000000"/>
          <w:sz w:val="24"/>
        </w:rPr>
      </w:pPr>
      <w:r>
        <w:rPr>
          <w:rFonts w:hint="eastAsia" w:ascii="宋体"/>
          <w:color w:val="000000"/>
          <w:sz w:val="24"/>
        </w:rPr>
        <w:t>供应商名称：</w:t>
      </w:r>
      <w:r>
        <w:rPr>
          <w:rFonts w:ascii="宋体" w:hAnsi="宋体" w:cs="宋体"/>
          <w:color w:val="000000"/>
          <w:sz w:val="24"/>
          <w:u w:val="single"/>
          <w:lang w:val="zh-CN"/>
        </w:rPr>
        <w:t xml:space="preserve">                         </w:t>
      </w:r>
      <w:r>
        <w:rPr>
          <w:rFonts w:hint="eastAsia" w:ascii="宋体"/>
          <w:color w:val="000000"/>
          <w:sz w:val="24"/>
        </w:rPr>
        <w:t xml:space="preserve"> （盖章）</w:t>
      </w:r>
    </w:p>
    <w:p>
      <w:pPr>
        <w:keepNext w:val="0"/>
        <w:keepLines w:val="0"/>
        <w:pageBreakBefore w:val="0"/>
        <w:kinsoku/>
        <w:wordWrap/>
        <w:overflowPunct/>
        <w:topLinePunct w:val="0"/>
        <w:autoSpaceDE/>
        <w:autoSpaceDN/>
        <w:bidi w:val="0"/>
        <w:adjustRightInd w:val="0"/>
        <w:snapToGrid/>
        <w:spacing w:line="312" w:lineRule="auto"/>
        <w:ind w:firstLine="480" w:firstLineChars="200"/>
        <w:jc w:val="left"/>
        <w:textAlignment w:val="auto"/>
        <w:rPr>
          <w:rFonts w:ascii="宋体"/>
          <w:color w:val="000000"/>
          <w:sz w:val="24"/>
        </w:rPr>
      </w:pPr>
      <w:r>
        <w:rPr>
          <w:rFonts w:hint="eastAsia" w:ascii="宋体"/>
          <w:color w:val="000000"/>
          <w:sz w:val="24"/>
        </w:rPr>
        <w:t>法定代表人/单位负责人或授权代表：</w:t>
      </w:r>
      <w:r>
        <w:rPr>
          <w:rFonts w:ascii="宋体" w:hAnsi="宋体" w:cs="宋体"/>
          <w:color w:val="000000"/>
          <w:sz w:val="24"/>
          <w:u w:val="single"/>
          <w:lang w:val="zh-CN"/>
        </w:rPr>
        <w:t xml:space="preserve">            </w:t>
      </w:r>
      <w:r>
        <w:rPr>
          <w:rFonts w:hint="eastAsia" w:ascii="宋体"/>
          <w:color w:val="000000"/>
          <w:sz w:val="24"/>
        </w:rPr>
        <w:t xml:space="preserve"> （签字或盖章）</w:t>
      </w:r>
    </w:p>
    <w:p>
      <w:pPr>
        <w:keepNext w:val="0"/>
        <w:keepLines w:val="0"/>
        <w:pageBreakBefore w:val="0"/>
        <w:widowControl/>
        <w:kinsoku/>
        <w:wordWrap/>
        <w:overflowPunct/>
        <w:topLinePunct w:val="0"/>
        <w:autoSpaceDE/>
        <w:autoSpaceDN/>
        <w:bidi w:val="0"/>
        <w:snapToGrid/>
        <w:spacing w:line="312" w:lineRule="auto"/>
        <w:ind w:firstLine="480" w:firstLineChars="200"/>
        <w:jc w:val="left"/>
        <w:textAlignment w:val="auto"/>
        <w:rPr>
          <w:rFonts w:ascii="宋体" w:hAnsi="宋体"/>
          <w:color w:val="000000"/>
        </w:rPr>
      </w:pPr>
      <w:r>
        <w:rPr>
          <w:rFonts w:hint="eastAsia" w:ascii="宋体"/>
          <w:color w:val="000000"/>
          <w:sz w:val="24"/>
        </w:rPr>
        <w:t>日</w:t>
      </w:r>
      <w:r>
        <w:rPr>
          <w:rFonts w:ascii="宋体" w:hAnsi="宋体"/>
          <w:bCs/>
          <w:color w:val="000000"/>
          <w:sz w:val="24"/>
        </w:rPr>
        <w:t xml:space="preserve">  </w:t>
      </w:r>
      <w:r>
        <w:rPr>
          <w:rFonts w:hint="eastAsia" w:ascii="宋体" w:hAnsi="宋体"/>
          <w:bCs/>
          <w:color w:val="000000"/>
          <w:sz w:val="24"/>
        </w:rPr>
        <w:t xml:space="preserve"> 期：</w:t>
      </w:r>
      <w:r>
        <w:rPr>
          <w:rFonts w:hint="eastAsia" w:ascii="宋体" w:hAnsi="宋体"/>
          <w:bCs/>
          <w:color w:val="000000"/>
          <w:sz w:val="24"/>
          <w:u w:val="single"/>
        </w:rPr>
        <w:t xml:space="preserve">                     </w:t>
      </w:r>
    </w:p>
    <w:p>
      <w:pPr>
        <w:adjustRightInd w:val="0"/>
        <w:spacing w:after="120" w:line="360" w:lineRule="auto"/>
        <w:ind w:firstLine="420" w:firstLineChars="200"/>
        <w:jc w:val="left"/>
        <w:rPr>
          <w:rFonts w:ascii="宋体" w:hAnsi="宋体"/>
          <w:color w:val="000000"/>
        </w:rPr>
      </w:pPr>
      <w:r>
        <w:rPr>
          <w:rFonts w:ascii="宋体" w:hAnsi="宋体"/>
          <w:color w:val="000000"/>
        </w:rPr>
        <w:t>注</w:t>
      </w:r>
      <w:r>
        <w:rPr>
          <w:rFonts w:hint="eastAsia" w:ascii="宋体" w:hAnsi="宋体"/>
          <w:color w:val="000000"/>
        </w:rPr>
        <w:t>：供应商的失信行为受到行政处罚或司法惩处的，不再对其以价格加成或扣分的方式进行惩戒，如有此种情况，请供应商提供相关证明材料。</w:t>
      </w:r>
    </w:p>
    <w:p>
      <w:pPr>
        <w:spacing w:before="159" w:beforeLines="50" w:line="360" w:lineRule="auto"/>
        <w:jc w:val="center"/>
        <w:outlineLvl w:val="2"/>
        <w:rPr>
          <w:b/>
          <w:color w:val="000000"/>
          <w:sz w:val="32"/>
          <w:szCs w:val="32"/>
        </w:rPr>
      </w:pPr>
      <w:r>
        <w:rPr>
          <w:b/>
          <w:color w:val="000000"/>
          <w:sz w:val="32"/>
          <w:szCs w:val="32"/>
        </w:rPr>
        <w:br w:type="page"/>
      </w:r>
      <w:r>
        <w:rPr>
          <w:rFonts w:hint="eastAsia"/>
          <w:b/>
          <w:color w:val="000000"/>
          <w:sz w:val="32"/>
          <w:szCs w:val="32"/>
        </w:rPr>
        <w:t>十二、招标代理服务费承诺书</w:t>
      </w:r>
      <w:bookmarkEnd w:id="293"/>
    </w:p>
    <w:p>
      <w:pPr>
        <w:pStyle w:val="27"/>
        <w:rPr>
          <w:rFonts w:hAnsi="宋体" w:cs="微软雅黑"/>
          <w:bCs/>
          <w:color w:val="000000"/>
          <w:szCs w:val="24"/>
          <w:u w:val="single"/>
        </w:rPr>
      </w:pPr>
    </w:p>
    <w:p>
      <w:pPr>
        <w:pStyle w:val="27"/>
        <w:rPr>
          <w:rFonts w:hAnsi="宋体"/>
          <w:bCs/>
          <w:color w:val="000000"/>
          <w:szCs w:val="24"/>
        </w:rPr>
      </w:pPr>
      <w:r>
        <w:rPr>
          <w:rFonts w:hint="eastAsia" w:hAnsi="宋体" w:cs="微软雅黑"/>
          <w:bCs/>
          <w:color w:val="000000"/>
          <w:szCs w:val="24"/>
          <w:u w:val="single"/>
        </w:rPr>
        <w:t xml:space="preserve">                            </w:t>
      </w:r>
      <w:r>
        <w:rPr>
          <w:rFonts w:hint="eastAsia" w:hAnsi="宋体" w:cs="微软雅黑"/>
          <w:bCs/>
          <w:color w:val="000000"/>
          <w:szCs w:val="24"/>
        </w:rPr>
        <w:t xml:space="preserve"> （采购代理机构）：</w:t>
      </w:r>
    </w:p>
    <w:p>
      <w:pPr>
        <w:pStyle w:val="27"/>
        <w:ind w:firstLine="720" w:firstLineChars="300"/>
        <w:rPr>
          <w:rFonts w:hAnsi="宋体"/>
          <w:color w:val="000000"/>
          <w:szCs w:val="24"/>
        </w:rPr>
      </w:pPr>
      <w:r>
        <w:rPr>
          <w:rFonts w:hint="eastAsia" w:hAnsi="宋体" w:cs="微软雅黑"/>
          <w:color w:val="000000"/>
          <w:szCs w:val="24"/>
          <w:u w:val="single"/>
        </w:rPr>
        <w:t>我方</w:t>
      </w:r>
      <w:r>
        <w:rPr>
          <w:rFonts w:hint="eastAsia" w:hAnsi="宋体" w:cs="微软雅黑"/>
          <w:color w:val="000000"/>
          <w:szCs w:val="24"/>
        </w:rPr>
        <w:t>在参加在贵公司进行的</w:t>
      </w:r>
      <w:r>
        <w:rPr>
          <w:rFonts w:hint="eastAsia" w:hAnsi="宋体" w:cs="微软雅黑"/>
          <w:color w:val="000000"/>
          <w:szCs w:val="24"/>
          <w:u w:val="single"/>
        </w:rPr>
        <w:t xml:space="preserve">             （项目名称）</w:t>
      </w:r>
      <w:r>
        <w:rPr>
          <w:rFonts w:hint="eastAsia" w:hAnsi="宋体" w:cs="微软雅黑"/>
          <w:color w:val="000000"/>
          <w:szCs w:val="24"/>
        </w:rPr>
        <w:t>项目</w:t>
      </w:r>
      <w:r>
        <w:rPr>
          <w:rFonts w:hAnsi="宋体" w:cs="微软雅黑"/>
          <w:color w:val="000000"/>
          <w:szCs w:val="24"/>
        </w:rPr>
        <w:t xml:space="preserve"> （</w:t>
      </w:r>
      <w:r>
        <w:rPr>
          <w:rFonts w:hint="eastAsia" w:hAnsi="宋体" w:cs="微软雅黑"/>
          <w:color w:val="000000"/>
          <w:szCs w:val="24"/>
        </w:rPr>
        <w:t>项目编号：</w:t>
      </w:r>
      <w:r>
        <w:rPr>
          <w:rFonts w:hAnsi="宋体" w:cs="微软雅黑"/>
          <w:color w:val="000000"/>
          <w:szCs w:val="24"/>
          <w:u w:val="single"/>
        </w:rPr>
        <w:t xml:space="preserve"> </w:t>
      </w:r>
      <w:r>
        <w:rPr>
          <w:rFonts w:hint="eastAsia" w:hAnsi="宋体" w:cs="微软雅黑"/>
          <w:color w:val="000000"/>
          <w:szCs w:val="24"/>
          <w:u w:val="single"/>
        </w:rPr>
        <w:t xml:space="preserve">   </w:t>
      </w:r>
      <w:r>
        <w:rPr>
          <w:rFonts w:hAnsi="宋体" w:cs="微软雅黑"/>
          <w:color w:val="000000"/>
          <w:szCs w:val="24"/>
          <w:u w:val="single"/>
        </w:rPr>
        <w:t xml:space="preserve"> </w:t>
      </w:r>
      <w:r>
        <w:rPr>
          <w:rFonts w:hint="eastAsia" w:hAnsi="宋体" w:cs="微软雅黑"/>
          <w:color w:val="000000"/>
          <w:szCs w:val="24"/>
          <w:u w:val="single"/>
        </w:rPr>
        <w:t xml:space="preserve">     </w:t>
      </w:r>
      <w:r>
        <w:rPr>
          <w:rFonts w:hAnsi="宋体" w:cs="微软雅黑"/>
          <w:color w:val="000000"/>
          <w:szCs w:val="24"/>
          <w:u w:val="single"/>
        </w:rPr>
        <w:t xml:space="preserve"> </w:t>
      </w:r>
      <w:r>
        <w:rPr>
          <w:rFonts w:hAnsi="宋体" w:cs="微软雅黑"/>
          <w:color w:val="000000"/>
          <w:szCs w:val="24"/>
        </w:rPr>
        <w:t>）</w:t>
      </w:r>
      <w:r>
        <w:rPr>
          <w:rFonts w:hint="eastAsia" w:hAnsi="宋体" w:cs="微软雅黑"/>
          <w:color w:val="000000"/>
          <w:szCs w:val="24"/>
        </w:rPr>
        <w:t>采购活动中如获中标，我方保证按“第二章 投标人须知前附表”的要求在领取《中标通知书》前，将招标代理服务费向贵司一次性交纳。</w:t>
      </w:r>
    </w:p>
    <w:p>
      <w:pPr>
        <w:pStyle w:val="27"/>
        <w:ind w:firstLine="420"/>
        <w:rPr>
          <w:rFonts w:hAnsi="宋体"/>
          <w:color w:val="000000"/>
          <w:szCs w:val="24"/>
        </w:rPr>
      </w:pPr>
      <w:r>
        <w:rPr>
          <w:rFonts w:hint="eastAsia" w:hAnsi="宋体" w:cs="微软雅黑"/>
          <w:color w:val="000000"/>
          <w:szCs w:val="24"/>
        </w:rPr>
        <w:t>特此承诺！</w:t>
      </w:r>
    </w:p>
    <w:p>
      <w:pPr>
        <w:pStyle w:val="27"/>
        <w:rPr>
          <w:rFonts w:hAnsi="宋体"/>
          <w:color w:val="000000"/>
          <w:szCs w:val="24"/>
        </w:rPr>
      </w:pPr>
      <w:r>
        <w:rPr>
          <w:rFonts w:hint="eastAsia" w:hAnsi="宋体"/>
          <w:color w:val="000000"/>
          <w:szCs w:val="24"/>
        </w:rPr>
        <w:t xml:space="preserve"> </w:t>
      </w:r>
    </w:p>
    <w:p>
      <w:pPr>
        <w:spacing w:line="360" w:lineRule="auto"/>
        <w:ind w:firstLine="480" w:firstLineChars="200"/>
        <w:jc w:val="left"/>
        <w:rPr>
          <w:rFonts w:ascii="宋体" w:hAnsi="宋体" w:cs="宋体"/>
          <w:color w:val="000000"/>
          <w:sz w:val="24"/>
        </w:rPr>
      </w:pPr>
    </w:p>
    <w:p>
      <w:pPr>
        <w:spacing w:line="360" w:lineRule="auto"/>
        <w:ind w:firstLine="480" w:firstLineChars="200"/>
        <w:jc w:val="left"/>
        <w:rPr>
          <w:rFonts w:ascii="宋体" w:hAnsi="宋体"/>
          <w:color w:val="000000"/>
          <w:sz w:val="24"/>
        </w:rPr>
      </w:pPr>
      <w:r>
        <w:rPr>
          <w:rFonts w:hint="eastAsia" w:ascii="宋体" w:hAnsi="宋体"/>
          <w:color w:val="000000"/>
          <w:sz w:val="24"/>
        </w:rPr>
        <w:t>投标人名称（盖单位公章）：</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法定代表人/单位负责人/授权代表</w:t>
      </w:r>
      <w:r>
        <w:rPr>
          <w:rFonts w:hint="eastAsia" w:ascii="宋体" w:hAnsi="宋体" w:cs="宋体"/>
          <w:color w:val="000000"/>
          <w:sz w:val="24"/>
        </w:rPr>
        <w:t>（签字或加盖个人名章）</w:t>
      </w:r>
      <w:r>
        <w:rPr>
          <w:rFonts w:hint="eastAsia"/>
          <w:color w:val="000000"/>
          <w:sz w:val="24"/>
        </w:rPr>
        <w:t>：</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日      期：</w:t>
      </w:r>
      <w:r>
        <w:rPr>
          <w:rFonts w:hint="eastAsia" w:ascii="宋体" w:hAnsi="宋体"/>
          <w:color w:val="000000"/>
          <w:sz w:val="24"/>
          <w:u w:val="single"/>
        </w:rPr>
        <w:t xml:space="preserve">      </w:t>
      </w:r>
      <w:r>
        <w:rPr>
          <w:rFonts w:hint="eastAsia"/>
          <w:color w:val="000000"/>
          <w:sz w:val="24"/>
        </w:rPr>
        <w:t>年</w:t>
      </w:r>
      <w:r>
        <w:rPr>
          <w:rFonts w:hint="eastAsia" w:ascii="宋体" w:hAnsi="宋体"/>
          <w:color w:val="000000"/>
          <w:sz w:val="24"/>
          <w:u w:val="single"/>
        </w:rPr>
        <w:t xml:space="preserve">   </w:t>
      </w:r>
      <w:r>
        <w:rPr>
          <w:rFonts w:hint="eastAsia"/>
          <w:color w:val="000000"/>
          <w:sz w:val="24"/>
        </w:rPr>
        <w:t>月</w:t>
      </w:r>
      <w:r>
        <w:rPr>
          <w:rFonts w:hint="eastAsia" w:ascii="宋体" w:hAnsi="宋体"/>
          <w:color w:val="000000"/>
          <w:sz w:val="24"/>
          <w:u w:val="single"/>
        </w:rPr>
        <w:t xml:space="preserve">   </w:t>
      </w:r>
      <w:r>
        <w:rPr>
          <w:rFonts w:hint="eastAsia"/>
          <w:color w:val="000000"/>
          <w:sz w:val="24"/>
        </w:rPr>
        <w:t xml:space="preserve">日 </w:t>
      </w:r>
    </w:p>
    <w:p>
      <w:pPr>
        <w:pStyle w:val="21"/>
        <w:rPr>
          <w:color w:val="000000"/>
        </w:rPr>
      </w:pPr>
      <w:r>
        <w:rPr>
          <w:color w:val="000000"/>
        </w:rPr>
        <w:br w:type="page"/>
      </w:r>
    </w:p>
    <w:p>
      <w:pPr>
        <w:spacing w:before="159" w:beforeLines="50" w:line="360" w:lineRule="auto"/>
        <w:ind w:firstLine="626"/>
        <w:jc w:val="center"/>
        <w:outlineLvl w:val="2"/>
        <w:rPr>
          <w:b/>
          <w:color w:val="000000"/>
          <w:sz w:val="32"/>
          <w:szCs w:val="32"/>
        </w:rPr>
      </w:pPr>
      <w:r>
        <w:rPr>
          <w:rFonts w:hint="eastAsia"/>
          <w:b/>
          <w:color w:val="000000"/>
          <w:sz w:val="32"/>
          <w:szCs w:val="32"/>
        </w:rPr>
        <w:t>十三、招标文件要求或投标人认为应该提供的其他资料（如有）</w:t>
      </w:r>
    </w:p>
    <w:p>
      <w:pPr>
        <w:spacing w:line="360" w:lineRule="auto"/>
        <w:jc w:val="left"/>
        <w:rPr>
          <w:rFonts w:ascii="宋体" w:hAnsi="宋体"/>
          <w:bCs/>
          <w:color w:val="000000"/>
          <w:sz w:val="24"/>
        </w:rPr>
      </w:pPr>
    </w:p>
    <w:p>
      <w:pPr>
        <w:pStyle w:val="21"/>
        <w:rPr>
          <w:rFonts w:ascii="宋体"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46"/>
        <w:ind w:firstLine="240"/>
        <w:rPr>
          <w:rFonts w:hAnsi="宋体"/>
          <w:bCs/>
          <w:color w:val="000000"/>
          <w:sz w:val="24"/>
        </w:rPr>
      </w:pPr>
    </w:p>
    <w:p>
      <w:pPr>
        <w:pStyle w:val="2"/>
        <w:numPr>
          <w:ilvl w:val="0"/>
          <w:numId w:val="8"/>
        </w:numPr>
        <w:jc w:val="center"/>
        <w:rPr>
          <w:rFonts w:hint="eastAsia"/>
          <w:color w:val="000000"/>
          <w:sz w:val="36"/>
          <w:szCs w:val="36"/>
        </w:rPr>
      </w:pPr>
      <w:bookmarkStart w:id="294" w:name="_Toc3915"/>
      <w:bookmarkStart w:id="295" w:name="_Toc24556240"/>
      <w:r>
        <w:rPr>
          <w:color w:val="000000"/>
          <w:sz w:val="36"/>
          <w:szCs w:val="36"/>
        </w:rPr>
        <w:br w:type="page"/>
      </w:r>
      <w:bookmarkStart w:id="296" w:name="_Toc11219"/>
      <w:bookmarkStart w:id="297" w:name="_Toc27838"/>
      <w:r>
        <w:rPr>
          <w:rFonts w:hint="eastAsia"/>
          <w:color w:val="000000"/>
          <w:sz w:val="36"/>
          <w:szCs w:val="36"/>
        </w:rPr>
        <w:t xml:space="preserve"> </w:t>
      </w:r>
      <w:bookmarkEnd w:id="188"/>
      <w:bookmarkEnd w:id="189"/>
      <w:bookmarkEnd w:id="190"/>
      <w:bookmarkEnd w:id="294"/>
      <w:bookmarkEnd w:id="295"/>
      <w:bookmarkStart w:id="298" w:name="_Toc217446093"/>
      <w:r>
        <w:rPr>
          <w:rFonts w:hint="eastAsia"/>
          <w:color w:val="000000"/>
          <w:sz w:val="36"/>
          <w:szCs w:val="36"/>
        </w:rPr>
        <w:t>投标人的资格、资质性</w:t>
      </w:r>
      <w:bookmarkStart w:id="299" w:name="_Toc421005904"/>
      <w:bookmarkStart w:id="300" w:name="_Toc28352"/>
      <w:bookmarkStart w:id="301" w:name="_Toc11213"/>
      <w:bookmarkStart w:id="302" w:name="_Toc26202"/>
      <w:r>
        <w:rPr>
          <w:rFonts w:hint="eastAsia"/>
          <w:color w:val="000000"/>
          <w:sz w:val="36"/>
          <w:szCs w:val="36"/>
        </w:rPr>
        <w:t>及其他类似效力要求</w:t>
      </w:r>
      <w:bookmarkEnd w:id="296"/>
      <w:bookmarkEnd w:id="297"/>
      <w:bookmarkEnd w:id="299"/>
      <w:bookmarkEnd w:id="300"/>
      <w:bookmarkEnd w:id="301"/>
      <w:bookmarkEnd w:id="302"/>
      <w:bookmarkStart w:id="303" w:name="_Toc23026"/>
    </w:p>
    <w:p>
      <w:pPr>
        <w:ind w:firstLine="422" w:firstLineChars="200"/>
        <w:rPr>
          <w:rFonts w:hint="eastAsia"/>
        </w:rPr>
      </w:pPr>
      <w:r>
        <w:rPr>
          <w:rFonts w:hint="eastAsia"/>
          <w:b/>
          <w:bCs/>
        </w:rPr>
        <w:t>一、投标人应具备的资格、资质性条件</w:t>
      </w:r>
      <w:r>
        <w:rPr>
          <w:rFonts w:hint="eastAsia"/>
        </w:rPr>
        <w:t>：</w:t>
      </w:r>
    </w:p>
    <w:p>
      <w:pPr>
        <w:rPr>
          <w:rFonts w:hint="eastAsia"/>
        </w:rPr>
      </w:pPr>
    </w:p>
    <w:bookmarkEnd w:id="303"/>
    <w:p>
      <w:pPr>
        <w:spacing w:line="360" w:lineRule="auto"/>
        <w:ind w:firstLine="482" w:firstLineChars="200"/>
        <w:rPr>
          <w:rFonts w:ascii="宋体" w:hAnsi="宋体" w:cs="宋体"/>
          <w:b/>
          <w:bCs/>
          <w:color w:val="000000"/>
          <w:kern w:val="0"/>
          <w:sz w:val="24"/>
          <w:szCs w:val="22"/>
        </w:rPr>
      </w:pPr>
      <w:r>
        <w:rPr>
          <w:rFonts w:hint="eastAsia" w:ascii="宋体" w:hAnsi="宋体" w:cs="宋体"/>
          <w:b/>
          <w:bCs/>
          <w:color w:val="000000"/>
          <w:kern w:val="0"/>
          <w:sz w:val="24"/>
          <w:szCs w:val="22"/>
        </w:rPr>
        <w:t>（一）符合《中华人民共和国政府采购法》第二十二条规定的条件；</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1、具有独立承担民事责任的能力；</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2、具有良好的商业信誉和健全的财务会计制度；</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具有履行合同所必需的设备和专业技术能力</w:t>
      </w:r>
      <w:r>
        <w:rPr>
          <w:rFonts w:ascii="宋体" w:hAnsi="宋体" w:cs="宋体"/>
          <w:color w:val="000000"/>
          <w:kern w:val="0"/>
          <w:sz w:val="24"/>
        </w:rPr>
        <w:t>；</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4、有依法缴纳税收和社会保障资金的良好记录；</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5、参加本次政府采购活动前三年内，在经营活动中没有重大违法记录</w:t>
      </w:r>
      <w:r>
        <w:rPr>
          <w:rFonts w:hint="eastAsia" w:ascii="宋体" w:hAnsi="宋体" w:cs="宋体"/>
          <w:color w:val="000000"/>
          <w:kern w:val="0"/>
          <w:sz w:val="24"/>
        </w:rPr>
        <w:t>。</w:t>
      </w:r>
    </w:p>
    <w:p>
      <w:pPr>
        <w:spacing w:line="360" w:lineRule="auto"/>
        <w:ind w:firstLine="482" w:firstLineChars="200"/>
        <w:rPr>
          <w:rFonts w:ascii="宋体" w:hAnsi="宋体" w:cs="宋体"/>
          <w:b/>
          <w:bCs/>
          <w:color w:val="000000"/>
          <w:kern w:val="0"/>
          <w:sz w:val="24"/>
          <w:szCs w:val="22"/>
        </w:rPr>
      </w:pPr>
      <w:r>
        <w:rPr>
          <w:rFonts w:hint="eastAsia" w:ascii="宋体" w:hAnsi="宋体" w:cs="宋体"/>
          <w:b/>
          <w:bCs/>
          <w:color w:val="000000"/>
          <w:kern w:val="0"/>
          <w:sz w:val="24"/>
          <w:szCs w:val="22"/>
        </w:rPr>
        <w:t>6、法律、行政法规规定的其他条件：</w:t>
      </w:r>
    </w:p>
    <w:p>
      <w:pPr>
        <w:spacing w:line="500" w:lineRule="exact"/>
        <w:ind w:firstLine="482" w:firstLineChars="200"/>
        <w:jc w:val="left"/>
        <w:rPr>
          <w:rFonts w:hAnsi="宋体"/>
          <w:bCs/>
          <w:sz w:val="24"/>
        </w:rPr>
      </w:pPr>
      <w:r>
        <w:rPr>
          <w:rFonts w:ascii="宋体" w:hAnsi="宋体" w:cs="宋体"/>
          <w:b/>
          <w:bCs/>
          <w:kern w:val="0"/>
          <w:sz w:val="24"/>
        </w:rPr>
        <w:t>（</w:t>
      </w:r>
      <w:r>
        <w:rPr>
          <w:rFonts w:hint="eastAsia" w:ascii="宋体" w:hAnsi="宋体" w:cs="宋体"/>
          <w:b/>
          <w:bCs/>
          <w:kern w:val="0"/>
          <w:sz w:val="24"/>
        </w:rPr>
        <w:t>二</w:t>
      </w:r>
      <w:r>
        <w:rPr>
          <w:rFonts w:ascii="宋体" w:hAnsi="宋体" w:cs="宋体"/>
          <w:b/>
          <w:bCs/>
          <w:kern w:val="0"/>
          <w:sz w:val="24"/>
        </w:rPr>
        <w:t>）</w:t>
      </w:r>
      <w:r>
        <w:rPr>
          <w:rFonts w:hint="eastAsia" w:ascii="宋体" w:hAnsi="宋体" w:cs="宋体"/>
          <w:b/>
          <w:bCs/>
          <w:kern w:val="0"/>
          <w:sz w:val="24"/>
          <w:szCs w:val="22"/>
        </w:rPr>
        <w:t>本项目提出的特殊要求</w:t>
      </w:r>
      <w:r>
        <w:rPr>
          <w:rFonts w:ascii="宋体" w:hAnsi="宋体" w:cs="宋体"/>
          <w:b/>
          <w:bCs/>
          <w:kern w:val="0"/>
          <w:sz w:val="24"/>
          <w:szCs w:val="22"/>
        </w:rPr>
        <w:t>：</w:t>
      </w:r>
      <w:r>
        <w:rPr>
          <w:rFonts w:hint="eastAsia" w:hAnsi="宋体" w:cs="宋体"/>
          <w:sz w:val="24"/>
        </w:rPr>
        <w:t>供应商需具有市场监管部门（工商行政管理部门）核发的有效企业法人营业执照或事业单位法人证书</w:t>
      </w:r>
      <w:r>
        <w:rPr>
          <w:rFonts w:hint="eastAsia" w:hAnsi="宋体" w:cs="宋体"/>
          <w:sz w:val="24"/>
          <w:lang w:val="zh-CN"/>
        </w:rPr>
        <w:t>。</w:t>
      </w:r>
    </w:p>
    <w:p>
      <w:pPr>
        <w:pStyle w:val="21"/>
        <w:spacing w:line="360" w:lineRule="auto"/>
        <w:ind w:firstLine="482" w:firstLineChars="200"/>
        <w:rPr>
          <w:rFonts w:hint="eastAsia" w:ascii="宋体" w:hAnsi="宋体" w:eastAsia="宋体" w:cs="宋体"/>
          <w:b/>
          <w:bCs/>
          <w:kern w:val="0"/>
          <w:sz w:val="24"/>
          <w:szCs w:val="22"/>
          <w:lang w:eastAsia="zh-CN"/>
        </w:rPr>
      </w:pPr>
      <w:r>
        <w:rPr>
          <w:rFonts w:hint="eastAsia" w:ascii="宋体" w:hAnsi="宋体" w:cs="宋体"/>
          <w:b/>
          <w:bCs/>
          <w:kern w:val="0"/>
          <w:sz w:val="24"/>
          <w:szCs w:val="22"/>
        </w:rPr>
        <w:t>（三）本次政府采购项目不接受联合体的形式参加投标</w:t>
      </w:r>
      <w:r>
        <w:rPr>
          <w:rFonts w:hint="eastAsia" w:ascii="宋体" w:hAnsi="宋体" w:cs="宋体"/>
          <w:b/>
          <w:bCs/>
          <w:kern w:val="0"/>
          <w:sz w:val="24"/>
          <w:szCs w:val="22"/>
          <w:lang w:eastAsia="zh-CN"/>
        </w:rPr>
        <w:t>。</w:t>
      </w:r>
    </w:p>
    <w:p>
      <w:pPr>
        <w:spacing w:line="360" w:lineRule="auto"/>
        <w:ind w:firstLine="482"/>
        <w:outlineLvl w:val="1"/>
        <w:rPr>
          <w:rFonts w:ascii="宋体" w:hAnsi="宋体" w:cs="宋体"/>
          <w:b/>
          <w:bCs/>
          <w:color w:val="000000"/>
          <w:kern w:val="0"/>
          <w:sz w:val="24"/>
        </w:rPr>
      </w:pPr>
      <w:bookmarkStart w:id="304" w:name="_Toc29429"/>
      <w:r>
        <w:rPr>
          <w:rFonts w:hint="eastAsia" w:ascii="宋体" w:hAnsi="宋体" w:cs="宋体"/>
          <w:b/>
          <w:bCs/>
          <w:color w:val="000000"/>
          <w:kern w:val="0"/>
          <w:sz w:val="24"/>
        </w:rPr>
        <w:t>二、其他类似效力要求相关要求：</w:t>
      </w:r>
      <w:bookmarkEnd w:id="304"/>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（一）在代理机构报名、登记备案并购买了招标文件；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（二）法定代表人参加投标活动或授权参加本项目的投标人代表；</w:t>
      </w:r>
    </w:p>
    <w:p>
      <w:pPr>
        <w:widowControl/>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（三）投标人不得为“信用中国”网站（www.creditchina.gov.cn）中列入失信被执行人和重大税收违法案件当事人名单的投标人，不得为“中国政府采购网”（ www.ccgp.gov.cn）政府采购严重违法失信行为记录名单中被财政部门禁止参加政府采购活动的投标人（处罚决定规定的时间和地域范围内）；</w:t>
      </w:r>
    </w:p>
    <w:p>
      <w:pPr>
        <w:widowControl/>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（四）单位负责人为同一人或者存在直接控股、管理关系的不同供应商，不得参加同一合同项下的政府采购活动；</w:t>
      </w:r>
    </w:p>
    <w:p>
      <w:pPr>
        <w:widowControl/>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（五）为采购项目提供整体设计、规范编制或者项目管理、监理、检测等服务的供应商，不得再参加该采购项目的其他采购活动；</w:t>
      </w:r>
    </w:p>
    <w:p>
      <w:pPr>
        <w:widowControl/>
        <w:spacing w:line="360" w:lineRule="auto"/>
        <w:ind w:firstLine="480" w:firstLineChars="200"/>
        <w:jc w:val="left"/>
        <w:rPr>
          <w:rFonts w:cs="宋体"/>
          <w:b/>
          <w:color w:val="000000"/>
        </w:rPr>
      </w:pPr>
      <w:r>
        <w:rPr>
          <w:rFonts w:hint="eastAsia" w:ascii="宋体" w:hAnsi="宋体" w:cs="宋体"/>
          <w:bCs/>
          <w:color w:val="000000"/>
          <w:kern w:val="0"/>
          <w:sz w:val="24"/>
        </w:rPr>
        <w:t>（六）投标人及其现任法定代表人、主要负责人前3年内不得具有行贿犯罪记录。</w:t>
      </w:r>
    </w:p>
    <w:p>
      <w:pPr>
        <w:pStyle w:val="193"/>
        <w:spacing w:after="159" w:afterLines="50"/>
        <w:ind w:firstLine="422"/>
        <w:rPr>
          <w:rFonts w:cs="宋体"/>
          <w:b/>
          <w:color w:val="000000"/>
          <w:sz w:val="21"/>
        </w:rPr>
      </w:pPr>
      <w:r>
        <w:rPr>
          <w:rFonts w:hint="eastAsia" w:cs="宋体"/>
          <w:b/>
          <w:color w:val="000000"/>
          <w:sz w:val="21"/>
        </w:rPr>
        <w:t>注：</w:t>
      </w:r>
      <w:r>
        <w:rPr>
          <w:rFonts w:cs="宋体"/>
          <w:b/>
          <w:color w:val="000000"/>
          <w:sz w:val="21"/>
        </w:rPr>
        <w:t xml:space="preserve">1. </w:t>
      </w:r>
      <w:r>
        <w:rPr>
          <w:rFonts w:hint="eastAsia" w:cs="宋体"/>
          <w:b/>
          <w:color w:val="000000"/>
          <w:sz w:val="21"/>
        </w:rPr>
        <w:t>其中重大违法记录中的较大数额罚款的具体金额标准，采购项目所属行业行政主管部门对较大数额罚款金额标准有明文规定的，可以根据采购项目所属行业行政主管部门规定的较大数额罚款金额标准为准；采购项目所属行业行政主管部门对较大数额罚款金额标准未明文规定的，应当以四川省人民政府规定的行政处罚罚款听证标准金额为准。</w:t>
      </w:r>
    </w:p>
    <w:p>
      <w:pPr>
        <w:pStyle w:val="193"/>
        <w:spacing w:after="159" w:afterLines="50"/>
        <w:rPr>
          <w:rFonts w:cs="宋体"/>
          <w:b/>
          <w:color w:val="000000"/>
          <w:sz w:val="21"/>
        </w:rPr>
      </w:pPr>
      <w:r>
        <w:rPr>
          <w:rFonts w:cs="宋体"/>
          <w:b/>
          <w:color w:val="000000"/>
          <w:sz w:val="21"/>
        </w:rPr>
        <w:t>2.</w:t>
      </w:r>
      <w:r>
        <w:rPr>
          <w:rFonts w:hint="eastAsia" w:cs="宋体"/>
          <w:b/>
          <w:color w:val="000000"/>
          <w:sz w:val="21"/>
        </w:rPr>
        <w:t>投标人</w:t>
      </w:r>
      <w:r>
        <w:rPr>
          <w:rFonts w:cs="宋体"/>
          <w:b/>
          <w:color w:val="000000"/>
          <w:sz w:val="21"/>
        </w:rPr>
        <w:t>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pStyle w:val="193"/>
        <w:spacing w:after="159" w:afterLines="50"/>
        <w:ind w:firstLine="422"/>
        <w:rPr>
          <w:rFonts w:hAnsi="宋体" w:cs="宋体"/>
          <w:b/>
          <w:bCs/>
          <w:color w:val="000000"/>
          <w:kern w:val="44"/>
          <w:sz w:val="36"/>
          <w:szCs w:val="44"/>
          <w:lang w:val="zh-CN"/>
        </w:rPr>
      </w:pPr>
      <w:r>
        <w:rPr>
          <w:rFonts w:cs="宋体"/>
          <w:b/>
          <w:color w:val="000000"/>
          <w:sz w:val="21"/>
        </w:rPr>
        <w:t>3、</w:t>
      </w:r>
      <w:r>
        <w:rPr>
          <w:rFonts w:hint="eastAsia" w:cs="宋体"/>
          <w:b/>
          <w:color w:val="000000"/>
          <w:sz w:val="21"/>
        </w:rPr>
        <w:t>投标人</w:t>
      </w:r>
      <w:r>
        <w:rPr>
          <w:rFonts w:cs="宋体"/>
          <w:b/>
          <w:color w:val="000000"/>
          <w:sz w:val="21"/>
        </w:rPr>
        <w:t>为“其他组织”时，法定代表人对应为“主要负责人”或“经营者”或“执行事务合伙人”，以下同。</w:t>
      </w:r>
    </w:p>
    <w:p>
      <w:pPr>
        <w:pStyle w:val="2"/>
        <w:keepNext/>
        <w:keepLines/>
        <w:pageBreakBefore w:val="0"/>
        <w:widowControl w:val="0"/>
        <w:kinsoku/>
        <w:wordWrap/>
        <w:overflowPunct/>
        <w:topLinePunct w:val="0"/>
        <w:autoSpaceDE/>
        <w:autoSpaceDN/>
        <w:bidi w:val="0"/>
        <w:adjustRightInd/>
        <w:snapToGrid/>
        <w:spacing w:line="336" w:lineRule="auto"/>
        <w:jc w:val="center"/>
        <w:textAlignment w:val="auto"/>
        <w:rPr>
          <w:rFonts w:hint="eastAsia"/>
          <w:color w:val="000000"/>
          <w:sz w:val="36"/>
          <w:szCs w:val="36"/>
        </w:rPr>
      </w:pPr>
      <w:r>
        <w:rPr>
          <w:color w:val="000000"/>
        </w:rPr>
        <w:br w:type="page"/>
      </w:r>
      <w:bookmarkStart w:id="305" w:name="_Toc21156"/>
      <w:bookmarkStart w:id="306" w:name="_Toc10911"/>
      <w:bookmarkStart w:id="307" w:name="_Toc24556241"/>
      <w:bookmarkStart w:id="308" w:name="_Toc5836"/>
      <w:r>
        <w:rPr>
          <w:rFonts w:hint="eastAsia"/>
          <w:color w:val="000000"/>
          <w:sz w:val="36"/>
          <w:szCs w:val="36"/>
        </w:rPr>
        <w:t>第五章  投标人应当提供的资格、资质性及其他类似效力要求的相关证明材料</w:t>
      </w:r>
      <w:bookmarkEnd w:id="305"/>
      <w:bookmarkEnd w:id="306"/>
      <w:bookmarkEnd w:id="307"/>
      <w:bookmarkEnd w:id="308"/>
    </w:p>
    <w:p>
      <w:pPr>
        <w:pStyle w:val="2"/>
        <w:pageBreakBefore w:val="0"/>
        <w:kinsoku/>
        <w:wordWrap/>
        <w:overflowPunct/>
        <w:topLinePunct w:val="0"/>
        <w:autoSpaceDE/>
        <w:autoSpaceDN/>
        <w:bidi w:val="0"/>
        <w:adjustRightInd/>
        <w:snapToGrid/>
        <w:spacing w:line="336" w:lineRule="auto"/>
        <w:jc w:val="both"/>
        <w:textAlignment w:val="auto"/>
        <w:rPr>
          <w:rFonts w:ascii="宋体" w:hAnsi="宋体"/>
          <w:color w:val="000000"/>
          <w:sz w:val="24"/>
          <w:szCs w:val="24"/>
        </w:rPr>
      </w:pPr>
      <w:r>
        <w:rPr>
          <w:rFonts w:hint="eastAsia" w:ascii="宋体" w:hAnsi="宋体"/>
          <w:color w:val="000000"/>
          <w:sz w:val="24"/>
          <w:szCs w:val="24"/>
        </w:rPr>
        <w:t>一、投标人应提供的资格、资质性证明材料：</w:t>
      </w:r>
    </w:p>
    <w:p>
      <w:pPr>
        <w:pageBreakBefore w:val="0"/>
        <w:widowControl/>
        <w:kinsoku/>
        <w:wordWrap/>
        <w:overflowPunct/>
        <w:topLinePunct w:val="0"/>
        <w:autoSpaceDE/>
        <w:autoSpaceDN/>
        <w:bidi w:val="0"/>
        <w:adjustRightInd/>
        <w:snapToGrid/>
        <w:spacing w:line="336" w:lineRule="auto"/>
        <w:ind w:firstLine="482" w:firstLineChars="200"/>
        <w:jc w:val="left"/>
        <w:textAlignment w:val="auto"/>
        <w:rPr>
          <w:rFonts w:ascii="宋体" w:hAnsi="宋体" w:cs="宋体"/>
          <w:color w:val="000000"/>
          <w:kern w:val="0"/>
          <w:sz w:val="24"/>
          <w:lang w:val="zh-CN"/>
        </w:rPr>
      </w:pPr>
      <w:r>
        <w:rPr>
          <w:rFonts w:hint="eastAsia" w:ascii="宋体" w:hAnsi="宋体" w:cs="宋体"/>
          <w:b/>
          <w:bCs/>
          <w:color w:val="000000"/>
          <w:kern w:val="0"/>
          <w:sz w:val="24"/>
        </w:rPr>
        <w:t>1、</w:t>
      </w:r>
      <w:r>
        <w:rPr>
          <w:rFonts w:hint="eastAsia" w:ascii="宋体" w:hAnsi="宋体" w:cs="宋体"/>
          <w:b/>
          <w:bCs/>
          <w:color w:val="000000"/>
          <w:kern w:val="0"/>
          <w:sz w:val="24"/>
          <w:lang w:val="zh-CN"/>
        </w:rPr>
        <w:t>具有独立承担民事责任的能力：</w:t>
      </w:r>
      <w:r>
        <w:rPr>
          <w:rFonts w:hint="eastAsia" w:ascii="宋体" w:hAnsi="宋体" w:cs="宋体"/>
          <w:color w:val="000000"/>
          <w:kern w:val="0"/>
          <w:sz w:val="24"/>
          <w:lang w:val="zh-CN"/>
        </w:rPr>
        <w:t>法人企业提供</w:t>
      </w:r>
      <w:r>
        <w:rPr>
          <w:rFonts w:hint="eastAsia" w:ascii="宋体" w:hAnsi="宋体" w:cs="宋体"/>
          <w:color w:val="000000"/>
          <w:kern w:val="0"/>
          <w:sz w:val="24"/>
        </w:rPr>
        <w:t>三证合一的</w:t>
      </w:r>
      <w:r>
        <w:rPr>
          <w:rFonts w:hint="eastAsia" w:ascii="宋体" w:hAnsi="宋体" w:cs="宋体"/>
          <w:color w:val="000000"/>
          <w:kern w:val="0"/>
          <w:sz w:val="24"/>
          <w:lang w:val="zh-CN"/>
        </w:rPr>
        <w:t>营业执照副本复印件，事业单位提供事业单位法人证书复印件，其他组织提供营业执照等证明文件复印件，自然人提供身份证明复印件均具备此条同等效力；</w:t>
      </w:r>
    </w:p>
    <w:p>
      <w:pPr>
        <w:pageBreakBefore w:val="0"/>
        <w:widowControl/>
        <w:kinsoku/>
        <w:wordWrap/>
        <w:overflowPunct/>
        <w:topLinePunct w:val="0"/>
        <w:autoSpaceDE/>
        <w:autoSpaceDN/>
        <w:bidi w:val="0"/>
        <w:adjustRightInd/>
        <w:snapToGrid/>
        <w:spacing w:line="336" w:lineRule="auto"/>
        <w:ind w:firstLine="482" w:firstLineChars="200"/>
        <w:jc w:val="left"/>
        <w:textAlignment w:val="auto"/>
        <w:rPr>
          <w:rFonts w:ascii="宋体" w:hAnsi="宋体" w:cs="宋体"/>
          <w:b/>
          <w:bCs/>
          <w:color w:val="000000"/>
          <w:kern w:val="0"/>
          <w:sz w:val="24"/>
        </w:rPr>
      </w:pPr>
      <w:r>
        <w:rPr>
          <w:rFonts w:hint="eastAsia" w:ascii="宋体" w:hAnsi="宋体" w:cs="宋体"/>
          <w:b/>
          <w:bCs/>
          <w:color w:val="000000"/>
          <w:kern w:val="0"/>
          <w:sz w:val="24"/>
        </w:rPr>
        <w:t>2、具有良好的商业信誉的证明材料：</w:t>
      </w:r>
    </w:p>
    <w:p>
      <w:pPr>
        <w:pageBreakBefore w:val="0"/>
        <w:widowControl/>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提供具有良好的商业信誉承诺函</w:t>
      </w:r>
      <w:r>
        <w:rPr>
          <w:rFonts w:hint="eastAsia" w:ascii="宋体" w:hAnsi="宋体" w:cs="宋体"/>
          <w:color w:val="000000"/>
          <w:kern w:val="0"/>
          <w:sz w:val="24"/>
          <w:lang w:val="zh-CN"/>
        </w:rPr>
        <w:t>（格式自拟或按第三章 投标文件格式 资格性投标文件 三、承诺函 提供有效）</w:t>
      </w:r>
      <w:r>
        <w:rPr>
          <w:rFonts w:hint="eastAsia" w:ascii="宋体" w:hAnsi="宋体" w:cs="宋体"/>
          <w:color w:val="000000"/>
          <w:kern w:val="0"/>
          <w:sz w:val="24"/>
        </w:rPr>
        <w:t>。</w:t>
      </w:r>
    </w:p>
    <w:p>
      <w:pPr>
        <w:pageBreakBefore w:val="0"/>
        <w:widowControl/>
        <w:kinsoku/>
        <w:wordWrap/>
        <w:overflowPunct/>
        <w:topLinePunct w:val="0"/>
        <w:autoSpaceDE/>
        <w:autoSpaceDN/>
        <w:bidi w:val="0"/>
        <w:adjustRightInd/>
        <w:snapToGrid/>
        <w:spacing w:line="336" w:lineRule="auto"/>
        <w:ind w:firstLine="482" w:firstLineChars="200"/>
        <w:jc w:val="left"/>
        <w:textAlignment w:val="auto"/>
        <w:rPr>
          <w:rFonts w:ascii="宋体" w:hAnsi="宋体" w:cs="宋体"/>
          <w:b/>
          <w:bCs/>
          <w:color w:val="000000"/>
          <w:kern w:val="0"/>
          <w:sz w:val="24"/>
        </w:rPr>
      </w:pPr>
      <w:r>
        <w:rPr>
          <w:rFonts w:hint="eastAsia" w:ascii="宋体" w:hAnsi="宋体" w:cs="宋体"/>
          <w:b/>
          <w:bCs/>
          <w:color w:val="000000"/>
          <w:kern w:val="0"/>
          <w:sz w:val="24"/>
        </w:rPr>
        <w:t>3、具有健全的财务会计制度的证明材料：</w:t>
      </w:r>
    </w:p>
    <w:p>
      <w:pPr>
        <w:pStyle w:val="21"/>
        <w:pageBreakBefore w:val="0"/>
        <w:kinsoku/>
        <w:wordWrap/>
        <w:overflowPunct/>
        <w:topLinePunct w:val="0"/>
        <w:autoSpaceDE/>
        <w:autoSpaceDN/>
        <w:bidi w:val="0"/>
        <w:adjustRightInd/>
        <w:snapToGrid/>
        <w:spacing w:after="0" w:line="336" w:lineRule="auto"/>
        <w:ind w:firstLine="480" w:firstLineChars="200"/>
        <w:textAlignment w:val="auto"/>
        <w:rPr>
          <w:rFonts w:ascii="宋体" w:hAnsi="宋体" w:cs="宋体"/>
          <w:color w:val="000000"/>
          <w:sz w:val="24"/>
          <w:szCs w:val="21"/>
        </w:rPr>
      </w:pPr>
      <w:r>
        <w:rPr>
          <w:rFonts w:hint="eastAsia" w:ascii="宋体" w:hAnsi="宋体" w:cs="宋体"/>
          <w:color w:val="000000"/>
          <w:sz w:val="24"/>
          <w:szCs w:val="21"/>
        </w:rPr>
        <w:t xml:space="preserve">（1）投标人提供 </w:t>
      </w:r>
      <w:r>
        <w:rPr>
          <w:rFonts w:hint="eastAsia" w:ascii="宋体" w:hAnsi="宋体" w:cs="宋体"/>
          <w:color w:val="000000"/>
          <w:sz w:val="24"/>
          <w:szCs w:val="21"/>
          <w:highlight w:val="none"/>
        </w:rPr>
        <w:t>202</w:t>
      </w:r>
      <w:r>
        <w:rPr>
          <w:rFonts w:hint="eastAsia" w:ascii="宋体" w:hAnsi="宋体" w:cs="宋体"/>
          <w:color w:val="000000"/>
          <w:sz w:val="24"/>
          <w:szCs w:val="21"/>
          <w:highlight w:val="none"/>
          <w:lang w:val="en-US" w:eastAsia="zh-CN"/>
        </w:rPr>
        <w:t>2</w:t>
      </w:r>
      <w:r>
        <w:rPr>
          <w:rFonts w:hint="eastAsia" w:ascii="宋体" w:hAnsi="宋体" w:cs="宋体"/>
          <w:color w:val="000000"/>
          <w:sz w:val="24"/>
          <w:szCs w:val="21"/>
          <w:highlight w:val="none"/>
        </w:rPr>
        <w:t>年或202</w:t>
      </w:r>
      <w:r>
        <w:rPr>
          <w:rFonts w:hint="eastAsia" w:ascii="宋体" w:hAnsi="宋体" w:cs="宋体"/>
          <w:color w:val="000000"/>
          <w:sz w:val="24"/>
          <w:szCs w:val="21"/>
          <w:highlight w:val="none"/>
          <w:lang w:val="en-US" w:eastAsia="zh-CN"/>
        </w:rPr>
        <w:t>3</w:t>
      </w:r>
      <w:r>
        <w:rPr>
          <w:rFonts w:hint="eastAsia" w:ascii="宋体" w:hAnsi="宋体" w:cs="宋体"/>
          <w:color w:val="000000"/>
          <w:sz w:val="24"/>
          <w:szCs w:val="21"/>
          <w:highlight w:val="none"/>
        </w:rPr>
        <w:t>年度</w:t>
      </w:r>
      <w:r>
        <w:rPr>
          <w:rFonts w:hint="eastAsia" w:ascii="宋体" w:hAnsi="宋体" w:cs="宋体"/>
          <w:color w:val="000000"/>
          <w:sz w:val="24"/>
          <w:szCs w:val="21"/>
        </w:rPr>
        <w:t>经过会计师事务所审计的财务报告复印件(经审计的有效财务报告应包括报告及报告中所附的完整内容，并由注册会计师签名、盖章以及会计师事务所盖章)；</w:t>
      </w:r>
    </w:p>
    <w:p>
      <w:pPr>
        <w:pStyle w:val="21"/>
        <w:pageBreakBefore w:val="0"/>
        <w:kinsoku/>
        <w:wordWrap/>
        <w:overflowPunct/>
        <w:topLinePunct w:val="0"/>
        <w:autoSpaceDE/>
        <w:autoSpaceDN/>
        <w:bidi w:val="0"/>
        <w:adjustRightInd/>
        <w:snapToGrid/>
        <w:spacing w:after="0" w:line="336" w:lineRule="auto"/>
        <w:ind w:firstLine="480" w:firstLineChars="200"/>
        <w:textAlignment w:val="auto"/>
        <w:rPr>
          <w:rFonts w:ascii="宋体" w:hAnsi="宋体" w:cs="宋体"/>
          <w:color w:val="000000"/>
          <w:sz w:val="24"/>
          <w:szCs w:val="21"/>
        </w:rPr>
      </w:pPr>
      <w:r>
        <w:rPr>
          <w:rFonts w:hint="eastAsia" w:ascii="宋体" w:hAnsi="宋体" w:cs="宋体"/>
          <w:color w:val="000000"/>
          <w:sz w:val="24"/>
          <w:szCs w:val="21"/>
        </w:rPr>
        <w:t>（2）投标人提供2021年或2022 年度投标人内部的财务报表复印件(至少包含资产负债表)；</w:t>
      </w:r>
    </w:p>
    <w:p>
      <w:pPr>
        <w:pStyle w:val="21"/>
        <w:pageBreakBefore w:val="0"/>
        <w:kinsoku/>
        <w:wordWrap/>
        <w:overflowPunct/>
        <w:topLinePunct w:val="0"/>
        <w:autoSpaceDE/>
        <w:autoSpaceDN/>
        <w:bidi w:val="0"/>
        <w:adjustRightInd/>
        <w:snapToGrid/>
        <w:spacing w:after="0" w:line="336" w:lineRule="auto"/>
        <w:ind w:firstLine="480" w:firstLineChars="200"/>
        <w:textAlignment w:val="auto"/>
        <w:rPr>
          <w:rFonts w:ascii="宋体" w:hAnsi="宋体" w:cs="宋体"/>
          <w:color w:val="000000"/>
          <w:sz w:val="24"/>
          <w:szCs w:val="21"/>
        </w:rPr>
      </w:pPr>
      <w:r>
        <w:rPr>
          <w:rFonts w:hint="eastAsia" w:ascii="宋体" w:hAnsi="宋体" w:cs="宋体"/>
          <w:color w:val="000000"/>
          <w:sz w:val="24"/>
          <w:szCs w:val="21"/>
        </w:rPr>
        <w:t>（3）投标人工商注册时间截至投标文件递交截止日不足一年的，可提供加盖工商(市场监管)备案主管部门印章的公司章程复印件或提供银行为其出具的资信证明复印件；</w:t>
      </w:r>
    </w:p>
    <w:p>
      <w:pPr>
        <w:pStyle w:val="21"/>
        <w:pageBreakBefore w:val="0"/>
        <w:kinsoku/>
        <w:wordWrap/>
        <w:overflowPunct/>
        <w:topLinePunct w:val="0"/>
        <w:autoSpaceDE/>
        <w:autoSpaceDN/>
        <w:bidi w:val="0"/>
        <w:adjustRightInd/>
        <w:snapToGrid/>
        <w:spacing w:after="0" w:line="336" w:lineRule="auto"/>
        <w:ind w:firstLine="480" w:firstLineChars="200"/>
        <w:textAlignment w:val="auto"/>
        <w:rPr>
          <w:rFonts w:ascii="宋体" w:hAnsi="宋体" w:cs="宋体"/>
          <w:color w:val="000000"/>
          <w:sz w:val="24"/>
          <w:szCs w:val="21"/>
        </w:rPr>
      </w:pPr>
      <w:r>
        <w:rPr>
          <w:rFonts w:hint="eastAsia" w:ascii="宋体" w:hAnsi="宋体" w:cs="宋体"/>
          <w:color w:val="000000"/>
          <w:sz w:val="24"/>
          <w:szCs w:val="21"/>
        </w:rPr>
        <w:t>（4）投标人为事业单位或其他组织或自然人时，可提供承诺函（格式自拟）。</w:t>
      </w:r>
    </w:p>
    <w:p>
      <w:pPr>
        <w:pageBreakBefore w:val="0"/>
        <w:widowControl/>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000000"/>
          <w:sz w:val="24"/>
          <w:szCs w:val="21"/>
        </w:rPr>
      </w:pPr>
      <w:r>
        <w:rPr>
          <w:rFonts w:hint="eastAsia" w:ascii="宋体" w:hAnsi="宋体" w:cs="宋体"/>
          <w:color w:val="000000"/>
          <w:sz w:val="24"/>
          <w:szCs w:val="21"/>
        </w:rPr>
        <w:t>注：具有健全的财务会计制度的证明材料中第（1）-（4）项具有同等的投标效力，供应商可根据自身实际情况选择提供其中任意一项。</w:t>
      </w:r>
    </w:p>
    <w:p>
      <w:pPr>
        <w:pageBreakBefore w:val="0"/>
        <w:widowControl/>
        <w:kinsoku/>
        <w:wordWrap/>
        <w:overflowPunct/>
        <w:topLinePunct w:val="0"/>
        <w:autoSpaceDE/>
        <w:autoSpaceDN/>
        <w:bidi w:val="0"/>
        <w:adjustRightInd/>
        <w:snapToGrid/>
        <w:spacing w:line="336" w:lineRule="auto"/>
        <w:ind w:firstLine="482" w:firstLineChars="200"/>
        <w:jc w:val="left"/>
        <w:textAlignment w:val="auto"/>
        <w:rPr>
          <w:rFonts w:ascii="宋体" w:hAnsi="宋体" w:cs="宋体"/>
          <w:b/>
          <w:bCs/>
          <w:color w:val="000000"/>
          <w:kern w:val="0"/>
          <w:sz w:val="24"/>
          <w:lang w:val="zh-CN"/>
        </w:rPr>
      </w:pPr>
      <w:r>
        <w:rPr>
          <w:rFonts w:hint="eastAsia" w:ascii="宋体" w:hAnsi="宋体" w:cs="宋体"/>
          <w:b/>
          <w:bCs/>
          <w:color w:val="000000"/>
          <w:kern w:val="0"/>
          <w:sz w:val="24"/>
        </w:rPr>
        <w:t>4</w:t>
      </w:r>
      <w:r>
        <w:rPr>
          <w:rFonts w:hint="eastAsia" w:ascii="宋体" w:hAnsi="宋体" w:cs="宋体"/>
          <w:b/>
          <w:bCs/>
          <w:color w:val="000000"/>
          <w:kern w:val="0"/>
          <w:sz w:val="24"/>
          <w:lang w:val="zh-CN"/>
        </w:rPr>
        <w:t>、具有履行合同所必需的设备和专业技术能力；</w:t>
      </w:r>
    </w:p>
    <w:p>
      <w:pPr>
        <w:pageBreakBefore w:val="0"/>
        <w:widowControl/>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提供具有履行合同所必需的设备和专业技术能力的承诺函（格式自拟或按第三章 投标文件格式 资格性投标文件 三、承诺函 提供有效）</w:t>
      </w:r>
      <w:r>
        <w:rPr>
          <w:rFonts w:hint="eastAsia" w:ascii="宋体" w:hAnsi="宋体" w:cs="宋体"/>
          <w:color w:val="000000"/>
          <w:kern w:val="0"/>
          <w:sz w:val="24"/>
        </w:rPr>
        <w:t>或其他证明材料</w:t>
      </w:r>
      <w:r>
        <w:rPr>
          <w:rFonts w:hint="eastAsia" w:ascii="宋体" w:hAnsi="宋体" w:cs="宋体"/>
          <w:color w:val="000000"/>
          <w:kern w:val="0"/>
          <w:sz w:val="24"/>
          <w:lang w:val="zh-CN"/>
        </w:rPr>
        <w:t>；</w:t>
      </w:r>
    </w:p>
    <w:p>
      <w:pPr>
        <w:pageBreakBefore w:val="0"/>
        <w:widowControl/>
        <w:kinsoku/>
        <w:wordWrap/>
        <w:overflowPunct/>
        <w:topLinePunct w:val="0"/>
        <w:autoSpaceDE/>
        <w:autoSpaceDN/>
        <w:bidi w:val="0"/>
        <w:adjustRightInd/>
        <w:snapToGrid/>
        <w:spacing w:line="336" w:lineRule="auto"/>
        <w:ind w:firstLine="482" w:firstLineChars="200"/>
        <w:jc w:val="left"/>
        <w:textAlignment w:val="auto"/>
        <w:rPr>
          <w:rFonts w:ascii="宋体" w:hAnsi="宋体" w:cs="宋体"/>
          <w:b/>
          <w:bCs/>
          <w:color w:val="000000"/>
          <w:kern w:val="0"/>
          <w:sz w:val="24"/>
          <w:lang w:val="zh-CN"/>
        </w:rPr>
      </w:pPr>
      <w:r>
        <w:rPr>
          <w:rFonts w:hint="eastAsia" w:ascii="宋体" w:hAnsi="宋体" w:cs="宋体"/>
          <w:b/>
          <w:bCs/>
          <w:color w:val="000000"/>
          <w:kern w:val="0"/>
          <w:sz w:val="24"/>
        </w:rPr>
        <w:t>5</w:t>
      </w:r>
      <w:r>
        <w:rPr>
          <w:rFonts w:hint="eastAsia" w:ascii="宋体" w:hAnsi="宋体" w:cs="宋体"/>
          <w:b/>
          <w:bCs/>
          <w:color w:val="000000"/>
          <w:kern w:val="0"/>
          <w:sz w:val="24"/>
          <w:lang w:val="zh-CN"/>
        </w:rPr>
        <w:t>、具有依法缴纳税收和社会保障资金的良好记录：</w:t>
      </w:r>
    </w:p>
    <w:p>
      <w:pPr>
        <w:pageBreakBefore w:val="0"/>
        <w:widowControl/>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提供202</w:t>
      </w:r>
      <w:r>
        <w:rPr>
          <w:rFonts w:hint="eastAsia" w:ascii="宋体" w:hAnsi="宋体" w:cs="宋体"/>
          <w:color w:val="000000"/>
          <w:kern w:val="0"/>
          <w:sz w:val="24"/>
        </w:rPr>
        <w:t>3</w:t>
      </w:r>
      <w:r>
        <w:rPr>
          <w:rFonts w:hint="eastAsia" w:ascii="宋体" w:hAnsi="宋体" w:cs="宋体"/>
          <w:color w:val="000000"/>
          <w:kern w:val="0"/>
          <w:sz w:val="24"/>
          <w:lang w:val="zh-CN"/>
        </w:rPr>
        <w:t>年6月至今任意</w:t>
      </w:r>
      <w:r>
        <w:rPr>
          <w:rFonts w:hint="eastAsia" w:ascii="宋体" w:hAnsi="宋体" w:cs="宋体"/>
          <w:color w:val="000000"/>
          <w:kern w:val="0"/>
          <w:sz w:val="24"/>
        </w:rPr>
        <w:t>6个月</w:t>
      </w:r>
      <w:r>
        <w:rPr>
          <w:rFonts w:hint="eastAsia" w:ascii="宋体" w:hAnsi="宋体" w:cs="宋体"/>
          <w:color w:val="000000"/>
          <w:kern w:val="0"/>
          <w:sz w:val="24"/>
          <w:lang w:val="zh-CN"/>
        </w:rPr>
        <w:t>的依法缴纳税收及社会保障资金证明材料或提供承诺函（格式自拟或按第三章 投标文件格式 资格性投标文件 三、承诺函 提供有效）；</w:t>
      </w:r>
    </w:p>
    <w:p>
      <w:pPr>
        <w:pageBreakBefore w:val="0"/>
        <w:widowControl/>
        <w:kinsoku/>
        <w:wordWrap/>
        <w:overflowPunct/>
        <w:topLinePunct w:val="0"/>
        <w:autoSpaceDE/>
        <w:autoSpaceDN/>
        <w:bidi w:val="0"/>
        <w:adjustRightInd/>
        <w:snapToGrid/>
        <w:spacing w:line="336" w:lineRule="auto"/>
        <w:ind w:firstLine="482" w:firstLineChars="200"/>
        <w:jc w:val="left"/>
        <w:textAlignment w:val="auto"/>
        <w:rPr>
          <w:rFonts w:ascii="宋体" w:hAnsi="宋体" w:cs="宋体"/>
          <w:color w:val="000000"/>
          <w:kern w:val="0"/>
          <w:sz w:val="24"/>
          <w:lang w:val="zh-CN"/>
        </w:rPr>
      </w:pPr>
      <w:r>
        <w:rPr>
          <w:rFonts w:hint="eastAsia" w:ascii="宋体" w:hAnsi="宋体" w:cs="宋体"/>
          <w:b/>
          <w:bCs/>
          <w:color w:val="000000"/>
          <w:kern w:val="0"/>
          <w:sz w:val="24"/>
        </w:rPr>
        <w:t>6</w:t>
      </w:r>
      <w:r>
        <w:rPr>
          <w:rFonts w:hint="eastAsia" w:ascii="宋体" w:hAnsi="宋体" w:cs="宋体"/>
          <w:b/>
          <w:bCs/>
          <w:color w:val="000000"/>
          <w:kern w:val="0"/>
          <w:sz w:val="24"/>
          <w:lang w:val="zh-CN"/>
        </w:rPr>
        <w:t>、提供参加本次采购活动前三年内，在经营活动中没有重大违法违规记录的承诺函（成立不足三年的，从成立之日起计算，</w:t>
      </w:r>
      <w:r>
        <w:rPr>
          <w:rFonts w:hint="eastAsia" w:ascii="宋体" w:hAnsi="宋体" w:cs="宋体"/>
          <w:color w:val="000000"/>
          <w:kern w:val="0"/>
          <w:sz w:val="24"/>
          <w:lang w:val="zh-CN"/>
        </w:rPr>
        <w:t>格式自拟或按第三章 投标文件格式 资格性投标文件 三、承诺函 提供有效</w:t>
      </w:r>
      <w:r>
        <w:rPr>
          <w:rFonts w:hint="eastAsia" w:ascii="宋体" w:hAnsi="宋体" w:cs="宋体"/>
          <w:b/>
          <w:bCs/>
          <w:color w:val="000000"/>
          <w:kern w:val="0"/>
          <w:sz w:val="24"/>
          <w:lang w:val="zh-CN"/>
        </w:rPr>
        <w:t>）；</w:t>
      </w:r>
    </w:p>
    <w:p>
      <w:pPr>
        <w:pageBreakBefore w:val="0"/>
        <w:widowControl/>
        <w:kinsoku/>
        <w:wordWrap/>
        <w:overflowPunct/>
        <w:topLinePunct w:val="0"/>
        <w:autoSpaceDE/>
        <w:autoSpaceDN/>
        <w:bidi w:val="0"/>
        <w:adjustRightInd/>
        <w:snapToGrid/>
        <w:spacing w:line="336" w:lineRule="auto"/>
        <w:ind w:firstLine="482" w:firstLineChars="200"/>
        <w:jc w:val="left"/>
        <w:textAlignment w:val="auto"/>
        <w:rPr>
          <w:rFonts w:ascii="宋体" w:hAnsi="宋体" w:cs="宋体"/>
          <w:color w:val="000000"/>
          <w:kern w:val="0"/>
          <w:sz w:val="24"/>
          <w:lang w:val="zh-CN"/>
        </w:rPr>
      </w:pPr>
      <w:r>
        <w:rPr>
          <w:rFonts w:hint="eastAsia" w:ascii="宋体" w:hAnsi="宋体" w:cs="宋体"/>
          <w:b/>
          <w:bCs/>
          <w:color w:val="000000"/>
          <w:kern w:val="0"/>
          <w:sz w:val="24"/>
        </w:rPr>
        <w:t>7、提供具备</w:t>
      </w:r>
      <w:r>
        <w:rPr>
          <w:rFonts w:hint="eastAsia" w:ascii="宋体" w:hAnsi="宋体" w:cs="宋体"/>
          <w:b/>
          <w:bCs/>
          <w:color w:val="000000"/>
          <w:kern w:val="0"/>
          <w:sz w:val="24"/>
          <w:lang w:val="zh-CN"/>
        </w:rPr>
        <w:t>法律、行政法规规定的其他条件的承诺函</w:t>
      </w:r>
      <w:r>
        <w:rPr>
          <w:rFonts w:hint="eastAsia" w:ascii="宋体" w:hAnsi="宋体" w:cs="宋体"/>
          <w:color w:val="000000"/>
          <w:kern w:val="0"/>
          <w:sz w:val="24"/>
          <w:lang w:val="zh-CN"/>
        </w:rPr>
        <w:t>（格式自拟或按第三章 投标文件格式 资格性投标文件 三、承诺函 提供有效）。</w:t>
      </w:r>
    </w:p>
    <w:p>
      <w:pPr>
        <w:pStyle w:val="3"/>
        <w:pageBreakBefore w:val="0"/>
        <w:kinsoku/>
        <w:wordWrap/>
        <w:overflowPunct/>
        <w:topLinePunct w:val="0"/>
        <w:autoSpaceDE/>
        <w:autoSpaceDN/>
        <w:bidi w:val="0"/>
        <w:adjustRightInd/>
        <w:snapToGrid/>
        <w:spacing w:before="0" w:after="0" w:line="336" w:lineRule="auto"/>
        <w:textAlignment w:val="auto"/>
        <w:rPr>
          <w:rFonts w:ascii="宋体" w:hAnsi="宋体"/>
          <w:color w:val="000000"/>
          <w:sz w:val="24"/>
          <w:szCs w:val="24"/>
        </w:rPr>
      </w:pPr>
      <w:r>
        <w:rPr>
          <w:rFonts w:hint="eastAsia" w:ascii="宋体" w:hAnsi="宋体"/>
          <w:color w:val="000000"/>
          <w:sz w:val="24"/>
          <w:szCs w:val="24"/>
        </w:rPr>
        <w:t>二、其他类似效力证明材料：</w:t>
      </w:r>
      <w:r>
        <w:rPr>
          <w:rFonts w:hint="eastAsia" w:ascii="宋体" w:hAnsi="宋体"/>
          <w:color w:val="000000"/>
          <w:sz w:val="24"/>
          <w:szCs w:val="24"/>
        </w:rPr>
        <w:tab/>
      </w:r>
    </w:p>
    <w:p>
      <w:pPr>
        <w:pageBreakBefore w:val="0"/>
        <w:kinsoku/>
        <w:wordWrap/>
        <w:overflowPunct/>
        <w:topLinePunct w:val="0"/>
        <w:autoSpaceDE/>
        <w:autoSpaceDN/>
        <w:bidi w:val="0"/>
        <w:adjustRightInd/>
        <w:snapToGrid/>
        <w:spacing w:line="336" w:lineRule="auto"/>
        <w:ind w:firstLine="480" w:firstLineChars="200"/>
        <w:textAlignment w:val="auto"/>
        <w:rPr>
          <w:rFonts w:ascii="宋体" w:hAnsi="宋体" w:cs="宋体"/>
          <w:color w:val="000000"/>
          <w:sz w:val="24"/>
          <w:lang w:val="zh-CN"/>
        </w:rPr>
      </w:pPr>
      <w:r>
        <w:rPr>
          <w:rFonts w:hint="eastAsia" w:ascii="宋体" w:hAnsi="宋体" w:cs="宋体"/>
          <w:color w:val="000000"/>
          <w:kern w:val="0"/>
          <w:sz w:val="24"/>
        </w:rPr>
        <w:t>1、投标人报名登记表（投标人无需提供，由代理机构提供给资格审查人员）</w:t>
      </w:r>
      <w:r>
        <w:rPr>
          <w:rFonts w:hint="eastAsia" w:ascii="宋体" w:hAnsi="宋体" w:cs="宋体"/>
          <w:color w:val="000000"/>
          <w:sz w:val="24"/>
          <w:lang w:val="zh-CN"/>
        </w:rPr>
        <w:t>。</w:t>
      </w:r>
    </w:p>
    <w:p>
      <w:pPr>
        <w:pageBreakBefore w:val="0"/>
        <w:widowControl/>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2、法定代表人授权书原件</w:t>
      </w:r>
      <w:r>
        <w:rPr>
          <w:rFonts w:hint="eastAsia" w:ascii="宋体" w:hAnsi="宋体" w:cs="宋体"/>
          <w:b/>
          <w:bCs/>
          <w:color w:val="000000"/>
          <w:kern w:val="0"/>
          <w:szCs w:val="21"/>
        </w:rPr>
        <w:t>（注：①附法定代表人和被授权人身份证复印件正反面；②非法定代表人亲自参与投标时提供）</w:t>
      </w:r>
      <w:r>
        <w:rPr>
          <w:rFonts w:hint="eastAsia" w:ascii="宋体" w:hAnsi="宋体" w:cs="宋体"/>
          <w:color w:val="000000"/>
          <w:kern w:val="0"/>
          <w:sz w:val="24"/>
        </w:rPr>
        <w:t>。</w:t>
      </w:r>
    </w:p>
    <w:p>
      <w:pPr>
        <w:pageBreakBefore w:val="0"/>
        <w:widowControl/>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3、法定代表人证明书原件</w:t>
      </w:r>
      <w:r>
        <w:rPr>
          <w:rFonts w:hint="eastAsia" w:ascii="宋体" w:hAnsi="宋体" w:cs="宋体"/>
          <w:b/>
          <w:bCs/>
          <w:color w:val="000000"/>
          <w:kern w:val="0"/>
          <w:szCs w:val="21"/>
        </w:rPr>
        <w:t>（注：①法定代表人身份证复印件正反面；②法定代表人亲自参加投标时提供）</w:t>
      </w:r>
      <w:r>
        <w:rPr>
          <w:rFonts w:hint="eastAsia" w:ascii="宋体" w:hAnsi="宋体" w:cs="宋体"/>
          <w:color w:val="000000"/>
          <w:kern w:val="0"/>
          <w:sz w:val="24"/>
        </w:rPr>
        <w:t>。</w:t>
      </w:r>
    </w:p>
    <w:p>
      <w:pPr>
        <w:pageBreakBefore w:val="0"/>
        <w:widowControl/>
        <w:kinsoku/>
        <w:wordWrap/>
        <w:overflowPunct/>
        <w:topLinePunct w:val="0"/>
        <w:autoSpaceDE/>
        <w:autoSpaceDN/>
        <w:bidi w:val="0"/>
        <w:adjustRightInd/>
        <w:snapToGrid/>
        <w:spacing w:line="336" w:lineRule="auto"/>
        <w:ind w:firstLine="480" w:firstLineChars="200"/>
        <w:jc w:val="left"/>
        <w:textAlignment w:val="auto"/>
        <w:rPr>
          <w:rFonts w:ascii="宋体" w:hAnsi="宋体" w:cs="宋体"/>
          <w:b/>
          <w:color w:val="000000"/>
          <w:sz w:val="24"/>
        </w:rPr>
      </w:pPr>
      <w:r>
        <w:rPr>
          <w:rFonts w:hint="eastAsia" w:ascii="宋体" w:hAnsi="宋体" w:cs="宋体"/>
          <w:bCs/>
          <w:color w:val="000000"/>
          <w:sz w:val="24"/>
        </w:rPr>
        <w:t>4、</w:t>
      </w:r>
      <w:r>
        <w:rPr>
          <w:rFonts w:hint="eastAsia" w:ascii="宋体" w:hAnsi="宋体" w:cs="宋体"/>
          <w:color w:val="000000"/>
          <w:sz w:val="24"/>
        </w:rPr>
        <w:t>根据</w:t>
      </w:r>
      <w:r>
        <w:rPr>
          <w:rFonts w:hint="eastAsia" w:ascii="宋体" w:hAnsi="宋体" w:cs="宋体"/>
          <w:color w:val="000000"/>
          <w:kern w:val="0"/>
          <w:sz w:val="24"/>
        </w:rPr>
        <w:t>《关于在政府采购活动中查询及使用信用记录有关问题的通知》</w:t>
      </w:r>
      <w:r>
        <w:rPr>
          <w:rFonts w:hint="eastAsia" w:ascii="宋体" w:hAnsi="宋体" w:cs="宋体"/>
          <w:color w:val="000000"/>
          <w:sz w:val="24"/>
        </w:rPr>
        <w:t>（财库〔2016〕125号）的要求，采购代理机构在资格审查时将通过“信用中国”网站</w:t>
      </w:r>
      <w:r>
        <w:rPr>
          <w:rFonts w:hint="eastAsia" w:ascii="宋体" w:hAnsi="宋体" w:cs="宋体"/>
          <w:color w:val="000000"/>
          <w:sz w:val="22"/>
          <w:szCs w:val="22"/>
        </w:rPr>
        <w:t>（www.creditchina.gov.cn）</w:t>
      </w:r>
      <w:r>
        <w:rPr>
          <w:rFonts w:hint="eastAsia" w:ascii="宋体" w:hAnsi="宋体" w:cs="宋体"/>
          <w:color w:val="000000"/>
          <w:sz w:val="24"/>
        </w:rPr>
        <w:t>、“中国政府采购网”网站（www.ccgp.gov.cn）等渠道查询投标人截至开标之日的信用记录并保存信用记录结果网页截图，列入失信被执行人名单、重大税收违法案件当事人名单、政府采购严重违法失信行为记录名单中的投标人投标文件无效</w:t>
      </w:r>
    </w:p>
    <w:p>
      <w:pPr>
        <w:pageBreakBefore w:val="0"/>
        <w:widowControl/>
        <w:kinsoku/>
        <w:wordWrap/>
        <w:overflowPunct/>
        <w:topLinePunct w:val="0"/>
        <w:autoSpaceDE/>
        <w:autoSpaceDN/>
        <w:bidi w:val="0"/>
        <w:adjustRightInd/>
        <w:snapToGrid/>
        <w:spacing w:line="336" w:lineRule="auto"/>
        <w:ind w:firstLine="480" w:firstLineChars="200"/>
        <w:jc w:val="left"/>
        <w:textAlignment w:val="auto"/>
        <w:rPr>
          <w:rFonts w:ascii="宋体" w:hAnsi="宋体" w:cs="宋体"/>
          <w:bCs/>
          <w:color w:val="000000"/>
          <w:kern w:val="0"/>
          <w:sz w:val="24"/>
        </w:rPr>
      </w:pPr>
      <w:r>
        <w:rPr>
          <w:rFonts w:hint="eastAsia" w:ascii="宋体" w:hAnsi="宋体" w:cs="宋体"/>
          <w:bCs/>
          <w:color w:val="000000"/>
          <w:kern w:val="0"/>
          <w:sz w:val="24"/>
        </w:rPr>
        <w:t>5、提供不存在与单位负责人为同一人或者存在直接控股、管理关系的不同供应商参加同一合同项下的政府采购活动的行为的承诺函（格式自拟或按</w:t>
      </w:r>
      <w:r>
        <w:rPr>
          <w:rFonts w:hint="eastAsia" w:ascii="宋体" w:hAnsi="宋体" w:cs="宋体"/>
          <w:color w:val="000000"/>
          <w:sz w:val="24"/>
          <w:lang w:val="zh-CN"/>
        </w:rPr>
        <w:t>第三章 投标文件格式资格性投标文件 五、投标人资质性及其他类似效力要求承诺函  提供有效</w:t>
      </w:r>
      <w:r>
        <w:rPr>
          <w:rFonts w:hint="eastAsia" w:ascii="宋体" w:hAnsi="宋体" w:cs="宋体"/>
          <w:bCs/>
          <w:color w:val="000000"/>
          <w:kern w:val="0"/>
          <w:sz w:val="24"/>
        </w:rPr>
        <w:t xml:space="preserve">）； </w:t>
      </w:r>
    </w:p>
    <w:p>
      <w:pPr>
        <w:pageBreakBefore w:val="0"/>
        <w:widowControl/>
        <w:kinsoku/>
        <w:wordWrap/>
        <w:overflowPunct/>
        <w:topLinePunct w:val="0"/>
        <w:autoSpaceDE/>
        <w:autoSpaceDN/>
        <w:bidi w:val="0"/>
        <w:adjustRightInd/>
        <w:snapToGrid/>
        <w:spacing w:line="336" w:lineRule="auto"/>
        <w:ind w:firstLine="480" w:firstLineChars="200"/>
        <w:jc w:val="left"/>
        <w:textAlignment w:val="auto"/>
        <w:rPr>
          <w:rFonts w:ascii="宋体" w:hAnsi="宋体" w:cs="宋体"/>
          <w:bCs/>
          <w:color w:val="000000"/>
          <w:kern w:val="0"/>
          <w:sz w:val="24"/>
        </w:rPr>
      </w:pPr>
      <w:r>
        <w:rPr>
          <w:rFonts w:hint="eastAsia" w:ascii="宋体" w:hAnsi="宋体" w:cs="宋体"/>
          <w:bCs/>
          <w:color w:val="000000"/>
          <w:kern w:val="0"/>
          <w:sz w:val="24"/>
        </w:rPr>
        <w:t>6、提供参加本次采购活动前，未对采购项目提供整体设计、规范编制或者项目管理、监理、检测等服务的承诺函（格式自拟或按</w:t>
      </w:r>
      <w:r>
        <w:rPr>
          <w:rFonts w:hint="eastAsia" w:ascii="宋体" w:hAnsi="宋体" w:cs="宋体"/>
          <w:color w:val="000000"/>
          <w:sz w:val="24"/>
          <w:lang w:val="zh-CN"/>
        </w:rPr>
        <w:t>第三章 投标文件格式  资格性投标文件 五、投标人资质性及其他类似效力要求承诺函  提供有效</w:t>
      </w:r>
      <w:r>
        <w:rPr>
          <w:rFonts w:hint="eastAsia" w:ascii="宋体" w:hAnsi="宋体" w:cs="宋体"/>
          <w:bCs/>
          <w:color w:val="000000"/>
          <w:kern w:val="0"/>
          <w:sz w:val="24"/>
        </w:rPr>
        <w:t>）；</w:t>
      </w:r>
    </w:p>
    <w:p>
      <w:pPr>
        <w:pageBreakBefore w:val="0"/>
        <w:kinsoku/>
        <w:wordWrap/>
        <w:overflowPunct/>
        <w:topLinePunct w:val="0"/>
        <w:autoSpaceDE/>
        <w:autoSpaceDN/>
        <w:bidi w:val="0"/>
        <w:adjustRightInd/>
        <w:snapToGrid/>
        <w:spacing w:line="336" w:lineRule="auto"/>
        <w:ind w:firstLine="480" w:firstLineChars="200"/>
        <w:textAlignment w:val="auto"/>
        <w:rPr>
          <w:rFonts w:ascii="宋体" w:hAnsi="宋体" w:cs="宋体"/>
          <w:color w:val="000000"/>
          <w:sz w:val="24"/>
        </w:rPr>
      </w:pPr>
      <w:r>
        <w:rPr>
          <w:rFonts w:hint="eastAsia" w:ascii="宋体" w:hAnsi="宋体" w:cs="宋体"/>
          <w:bCs/>
          <w:color w:val="000000"/>
          <w:kern w:val="0"/>
          <w:sz w:val="24"/>
        </w:rPr>
        <w:t>7、提供投标人及其现任法定代表人、主要负责人不得具有行贿犯罪记录的承诺函（格式自拟或按</w:t>
      </w:r>
      <w:r>
        <w:rPr>
          <w:rFonts w:hint="eastAsia" w:ascii="宋体" w:hAnsi="宋体" w:cs="宋体"/>
          <w:color w:val="000000"/>
          <w:sz w:val="24"/>
          <w:lang w:val="zh-CN"/>
        </w:rPr>
        <w:t>第三章 投标文件格式 资格性投标文件 四、投标人及其现任法定代表人、主要负责人不具有行贿犯罪记录的承诺函 提供有效</w:t>
      </w:r>
      <w:r>
        <w:rPr>
          <w:rFonts w:hint="eastAsia" w:ascii="宋体" w:hAnsi="宋体" w:cs="宋体"/>
          <w:bCs/>
          <w:color w:val="000000"/>
          <w:kern w:val="0"/>
          <w:sz w:val="24"/>
        </w:rPr>
        <w:t>）</w:t>
      </w:r>
      <w:r>
        <w:rPr>
          <w:rFonts w:hint="eastAsia" w:cs="宋体"/>
          <w:b/>
          <w:color w:val="000000"/>
          <w:sz w:val="24"/>
        </w:rPr>
        <w:t>或者</w:t>
      </w:r>
      <w:r>
        <w:rPr>
          <w:rFonts w:hint="eastAsia" w:cs="宋体"/>
          <w:color w:val="000000"/>
          <w:sz w:val="24"/>
        </w:rPr>
        <w:t>可以通过“中国裁判文书网”自行查询供应商及其现任法定代表人、主要负责人的行贿犯罪记录，提供查询网页截图（现任法定代表人、主要负责人为同一人的需进行情况说明）</w:t>
      </w:r>
      <w:r>
        <w:rPr>
          <w:rFonts w:hint="eastAsia" w:ascii="宋体" w:hAnsi="宋体" w:cs="宋体"/>
          <w:bCs/>
          <w:color w:val="000000"/>
          <w:kern w:val="0"/>
          <w:sz w:val="24"/>
        </w:rPr>
        <w:t>。</w:t>
      </w:r>
    </w:p>
    <w:p>
      <w:pPr>
        <w:pStyle w:val="21"/>
        <w:pageBreakBefore w:val="0"/>
        <w:kinsoku/>
        <w:wordWrap/>
        <w:overflowPunct/>
        <w:topLinePunct w:val="0"/>
        <w:autoSpaceDE/>
        <w:autoSpaceDN/>
        <w:bidi w:val="0"/>
        <w:adjustRightInd/>
        <w:snapToGrid/>
        <w:spacing w:after="0" w:line="336" w:lineRule="auto"/>
        <w:ind w:firstLine="482" w:firstLineChars="200"/>
        <w:textAlignment w:val="auto"/>
        <w:rPr>
          <w:color w:val="000000"/>
        </w:rPr>
      </w:pPr>
      <w:r>
        <w:rPr>
          <w:rFonts w:hint="eastAsia" w:ascii="宋体" w:hAnsi="宋体" w:cs="宋体"/>
          <w:b/>
          <w:color w:val="000000"/>
          <w:sz w:val="24"/>
        </w:rPr>
        <w:t>若投标人在投标文件中未提供承诺函或查询截图的</w:t>
      </w:r>
      <w:r>
        <w:rPr>
          <w:rFonts w:hint="eastAsia" w:ascii="宋体" w:hAnsi="宋体" w:cs="宋体"/>
          <w:color w:val="000000"/>
          <w:sz w:val="24"/>
        </w:rPr>
        <w:t>，投标人应在投标文件中注明</w:t>
      </w:r>
      <w:r>
        <w:rPr>
          <w:rFonts w:hint="eastAsia" w:ascii="宋体" w:hAnsi="宋体" w:cs="宋体"/>
          <w:color w:val="000000"/>
          <w:sz w:val="24"/>
          <w:szCs w:val="18"/>
          <w:u w:val="single"/>
        </w:rPr>
        <w:t>供应商名称（全称）</w:t>
      </w:r>
      <w:r>
        <w:rPr>
          <w:rFonts w:hint="eastAsia" w:ascii="宋体" w:hAnsi="宋体" w:cs="宋体"/>
          <w:color w:val="000000"/>
          <w:sz w:val="24"/>
          <w:szCs w:val="18"/>
        </w:rPr>
        <w:t>、现任</w:t>
      </w:r>
      <w:r>
        <w:rPr>
          <w:rFonts w:hint="eastAsia" w:ascii="宋体" w:hAnsi="宋体" w:cs="宋体"/>
          <w:color w:val="000000"/>
          <w:sz w:val="24"/>
          <w:szCs w:val="18"/>
          <w:u w:val="single"/>
        </w:rPr>
        <w:t>法定代表人（姓名、身份证号）、主要负责人（姓名、身份证号）</w:t>
      </w:r>
      <w:r>
        <w:rPr>
          <w:rFonts w:hint="eastAsia" w:ascii="宋体" w:hAnsi="宋体" w:cs="宋体"/>
          <w:color w:val="000000"/>
          <w:sz w:val="24"/>
        </w:rPr>
        <w:t>（其中，现任法定代表人、主要负责人为同一人的需进行情况说明）</w:t>
      </w:r>
      <w:r>
        <w:rPr>
          <w:rFonts w:hint="eastAsia" w:ascii="宋体" w:hAnsi="宋体" w:cs="宋体"/>
          <w:b/>
          <w:color w:val="000000"/>
          <w:sz w:val="24"/>
          <w:szCs w:val="18"/>
          <w:u w:val="single"/>
        </w:rPr>
        <w:t>以便于采购代理机构查询</w:t>
      </w:r>
      <w:r>
        <w:rPr>
          <w:rFonts w:hint="eastAsia" w:ascii="宋体" w:hAnsi="宋体" w:cs="宋体"/>
          <w:color w:val="000000"/>
          <w:sz w:val="24"/>
        </w:rPr>
        <w:t>。若因投标人未提供相关信息导致代理机构无法查询使投标文件无效的，相应责任由投标人自行承担。</w:t>
      </w:r>
    </w:p>
    <w:p>
      <w:pPr>
        <w:pageBreakBefore w:val="0"/>
        <w:kinsoku/>
        <w:wordWrap/>
        <w:overflowPunct/>
        <w:topLinePunct w:val="0"/>
        <w:autoSpaceDE/>
        <w:autoSpaceDN/>
        <w:bidi w:val="0"/>
        <w:adjustRightInd/>
        <w:snapToGrid/>
        <w:spacing w:line="336" w:lineRule="auto"/>
        <w:textAlignment w:val="auto"/>
        <w:rPr>
          <w:rFonts w:ascii="宋体" w:hAnsi="宋体" w:cs="宋体"/>
          <w:b/>
          <w:color w:val="000000"/>
          <w:szCs w:val="21"/>
        </w:rPr>
      </w:pPr>
    </w:p>
    <w:p>
      <w:pPr>
        <w:pageBreakBefore w:val="0"/>
        <w:kinsoku/>
        <w:wordWrap/>
        <w:overflowPunct/>
        <w:topLinePunct w:val="0"/>
        <w:autoSpaceDE/>
        <w:autoSpaceDN/>
        <w:bidi w:val="0"/>
        <w:adjustRightInd/>
        <w:snapToGrid/>
        <w:spacing w:line="336" w:lineRule="auto"/>
        <w:ind w:firstLine="422" w:firstLineChars="200"/>
        <w:textAlignment w:val="auto"/>
        <w:rPr>
          <w:rFonts w:ascii="宋体" w:hAnsi="宋体" w:cs="宋体"/>
          <w:b/>
          <w:color w:val="000000"/>
          <w:szCs w:val="21"/>
        </w:rPr>
      </w:pPr>
      <w:r>
        <w:rPr>
          <w:rFonts w:hint="eastAsia" w:ascii="宋体" w:hAnsi="宋体" w:cs="宋体"/>
          <w:b/>
          <w:color w:val="000000"/>
          <w:szCs w:val="21"/>
        </w:rPr>
        <w:t>注：1、以上要求的资料复印件（身份证明材料除外）均须加盖供应商单位的公章（鲜章）。</w:t>
      </w:r>
    </w:p>
    <w:p>
      <w:pPr>
        <w:pageBreakBefore w:val="0"/>
        <w:kinsoku/>
        <w:wordWrap/>
        <w:overflowPunct/>
        <w:topLinePunct w:val="0"/>
        <w:autoSpaceDE/>
        <w:autoSpaceDN/>
        <w:bidi w:val="0"/>
        <w:adjustRightInd/>
        <w:snapToGrid/>
        <w:spacing w:line="336" w:lineRule="auto"/>
        <w:ind w:firstLine="422" w:firstLineChars="200"/>
        <w:textAlignment w:val="auto"/>
        <w:rPr>
          <w:rFonts w:ascii="宋体" w:hAnsi="宋体" w:cs="宋体"/>
          <w:b/>
          <w:color w:val="000000"/>
          <w:szCs w:val="21"/>
        </w:rPr>
      </w:pPr>
      <w:r>
        <w:rPr>
          <w:rFonts w:hint="eastAsia" w:ascii="宋体" w:hAnsi="宋体" w:cs="宋体"/>
          <w:b/>
          <w:color w:val="000000"/>
          <w:szCs w:val="21"/>
        </w:rPr>
        <w:t>2、提供的证件材料如有有效期要求的，必须在有效期内。</w:t>
      </w:r>
    </w:p>
    <w:p>
      <w:pPr>
        <w:pageBreakBefore w:val="0"/>
        <w:kinsoku/>
        <w:wordWrap/>
        <w:overflowPunct/>
        <w:topLinePunct w:val="0"/>
        <w:autoSpaceDE/>
        <w:autoSpaceDN/>
        <w:bidi w:val="0"/>
        <w:adjustRightInd/>
        <w:snapToGrid/>
        <w:spacing w:line="336" w:lineRule="auto"/>
        <w:ind w:firstLine="422" w:firstLineChars="200"/>
        <w:textAlignment w:val="auto"/>
        <w:rPr>
          <w:rFonts w:ascii="宋体" w:hAnsi="宋体" w:cs="宋体"/>
          <w:b/>
          <w:color w:val="000000"/>
          <w:szCs w:val="21"/>
        </w:rPr>
      </w:pPr>
      <w:r>
        <w:rPr>
          <w:rFonts w:hint="eastAsia" w:ascii="宋体" w:hAnsi="宋体" w:cs="宋体"/>
          <w:b/>
          <w:color w:val="000000"/>
          <w:szCs w:val="21"/>
        </w:rPr>
        <w:t>3、供应商相关资质证书（或资格证明材料）处于年检、换证、升级、变更等期间， 若提供了相关法律法规或发证机构（或相关主管部门）书面材料，则视为该资质（或资格证明材料）有效，否则一律不予认可。</w:t>
      </w:r>
    </w:p>
    <w:p>
      <w:pPr>
        <w:pageBreakBefore w:val="0"/>
        <w:kinsoku/>
        <w:wordWrap/>
        <w:overflowPunct/>
        <w:topLinePunct w:val="0"/>
        <w:autoSpaceDE/>
        <w:autoSpaceDN/>
        <w:bidi w:val="0"/>
        <w:adjustRightInd/>
        <w:snapToGrid/>
        <w:spacing w:line="336" w:lineRule="auto"/>
        <w:ind w:firstLine="422" w:firstLineChars="200"/>
        <w:textAlignment w:val="auto"/>
        <w:rPr>
          <w:rFonts w:ascii="宋体" w:hAnsi="宋体"/>
          <w:color w:val="000000"/>
          <w:sz w:val="24"/>
        </w:rPr>
      </w:pPr>
      <w:r>
        <w:rPr>
          <w:rFonts w:hint="eastAsia" w:ascii="宋体" w:hAnsi="宋体" w:cs="宋体"/>
          <w:b/>
          <w:color w:val="000000"/>
          <w:szCs w:val="21"/>
        </w:rPr>
        <w:t>4、以上资格证明材料涉及提供承诺函的，供应商可以逐条单独自拟提供，也可以在招标文件提供的相关承诺函中一并进行承诺，提供一次即可。</w:t>
      </w:r>
    </w:p>
    <w:p>
      <w:pPr>
        <w:pStyle w:val="3"/>
        <w:pageBreakBefore w:val="0"/>
        <w:kinsoku/>
        <w:wordWrap/>
        <w:overflowPunct/>
        <w:topLinePunct w:val="0"/>
        <w:autoSpaceDE/>
        <w:autoSpaceDN/>
        <w:bidi w:val="0"/>
        <w:adjustRightInd/>
        <w:snapToGrid/>
        <w:spacing w:before="0" w:after="0" w:line="336" w:lineRule="auto"/>
        <w:textAlignment w:val="auto"/>
        <w:rPr>
          <w:rFonts w:ascii="宋体" w:hAnsi="宋体"/>
          <w:color w:val="000000"/>
          <w:sz w:val="24"/>
          <w:szCs w:val="24"/>
        </w:rPr>
      </w:pPr>
      <w:r>
        <w:rPr>
          <w:rFonts w:hint="eastAsia" w:ascii="宋体" w:hAnsi="宋体"/>
          <w:color w:val="000000"/>
          <w:sz w:val="24"/>
          <w:szCs w:val="24"/>
        </w:rPr>
        <w:t>三、资格审查程序</w:t>
      </w:r>
    </w:p>
    <w:p>
      <w:pPr>
        <w:pageBreakBefore w:val="0"/>
        <w:kinsoku/>
        <w:wordWrap/>
        <w:overflowPunct/>
        <w:topLinePunct w:val="0"/>
        <w:autoSpaceDE/>
        <w:autoSpaceDN/>
        <w:bidi w:val="0"/>
        <w:adjustRightInd/>
        <w:snapToGrid/>
        <w:spacing w:line="336" w:lineRule="auto"/>
        <w:ind w:firstLine="480" w:firstLineChars="200"/>
        <w:textAlignment w:val="auto"/>
        <w:rPr>
          <w:rFonts w:ascii="宋体" w:hAnsi="宋体"/>
          <w:color w:val="000000"/>
          <w:sz w:val="24"/>
        </w:rPr>
      </w:pPr>
      <w:r>
        <w:rPr>
          <w:rFonts w:hint="eastAsia" w:ascii="宋体" w:hAnsi="宋体"/>
          <w:color w:val="000000"/>
          <w:sz w:val="24"/>
        </w:rPr>
        <w:t>1、根据《政府采购货物和服务招标投标管理办法》（财政部令第87号）第四十四条对投标人的资格进行审查。</w:t>
      </w:r>
    </w:p>
    <w:p>
      <w:pPr>
        <w:pageBreakBefore w:val="0"/>
        <w:kinsoku/>
        <w:wordWrap/>
        <w:overflowPunct/>
        <w:topLinePunct w:val="0"/>
        <w:autoSpaceDE/>
        <w:autoSpaceDN/>
        <w:bidi w:val="0"/>
        <w:adjustRightInd/>
        <w:snapToGrid/>
        <w:spacing w:line="336" w:lineRule="auto"/>
        <w:ind w:firstLine="480" w:firstLineChars="200"/>
        <w:textAlignment w:val="auto"/>
        <w:rPr>
          <w:rFonts w:ascii="宋体" w:hAnsi="宋体"/>
          <w:color w:val="000000"/>
          <w:sz w:val="24"/>
        </w:rPr>
      </w:pPr>
      <w:r>
        <w:rPr>
          <w:rFonts w:hint="eastAsia" w:ascii="宋体" w:hAnsi="宋体"/>
          <w:color w:val="000000"/>
          <w:sz w:val="24"/>
        </w:rPr>
        <w:t>2、本项目由采购人或者采购代理机构依法对投标人的资格进行审查，并出具书面的资格性审查结果。</w:t>
      </w:r>
    </w:p>
    <w:p>
      <w:pPr>
        <w:pageBreakBefore w:val="0"/>
        <w:kinsoku/>
        <w:wordWrap/>
        <w:overflowPunct/>
        <w:topLinePunct w:val="0"/>
        <w:autoSpaceDE/>
        <w:autoSpaceDN/>
        <w:bidi w:val="0"/>
        <w:adjustRightInd/>
        <w:snapToGrid/>
        <w:spacing w:line="336" w:lineRule="auto"/>
        <w:ind w:firstLine="480" w:firstLineChars="200"/>
        <w:textAlignment w:val="auto"/>
        <w:rPr>
          <w:rFonts w:ascii="宋体" w:hAnsi="宋体"/>
          <w:color w:val="000000"/>
          <w:sz w:val="24"/>
        </w:rPr>
      </w:pPr>
      <w:r>
        <w:rPr>
          <w:rFonts w:hint="eastAsia" w:ascii="宋体" w:hAnsi="宋体"/>
          <w:color w:val="000000"/>
          <w:sz w:val="24"/>
        </w:rPr>
        <w:t>3、合格投标人不足3家的，不得评标。</w:t>
      </w:r>
    </w:p>
    <w:p>
      <w:pPr>
        <w:pageBreakBefore w:val="0"/>
        <w:kinsoku/>
        <w:wordWrap/>
        <w:overflowPunct/>
        <w:topLinePunct w:val="0"/>
        <w:autoSpaceDE/>
        <w:autoSpaceDN/>
        <w:bidi w:val="0"/>
        <w:adjustRightInd/>
        <w:snapToGrid/>
        <w:spacing w:line="336" w:lineRule="auto"/>
        <w:ind w:firstLine="480" w:firstLineChars="200"/>
        <w:textAlignment w:val="auto"/>
        <w:rPr>
          <w:rFonts w:ascii="宋体" w:hAnsi="宋体"/>
          <w:color w:val="000000"/>
          <w:sz w:val="24"/>
        </w:rPr>
      </w:pPr>
    </w:p>
    <w:p>
      <w:pPr>
        <w:pStyle w:val="2"/>
        <w:jc w:val="center"/>
        <w:rPr>
          <w:color w:val="000000"/>
          <w:sz w:val="36"/>
          <w:szCs w:val="36"/>
        </w:rPr>
      </w:pPr>
      <w:bookmarkStart w:id="309" w:name="_Toc26178"/>
      <w:r>
        <w:rPr>
          <w:rFonts w:hint="eastAsia"/>
          <w:b w:val="0"/>
          <w:color w:val="000000"/>
        </w:rPr>
        <w:br w:type="page"/>
      </w:r>
      <w:bookmarkStart w:id="310" w:name="_Toc17270"/>
      <w:bookmarkStart w:id="311" w:name="_Toc30722"/>
      <w:bookmarkStart w:id="312" w:name="_Toc24556242"/>
      <w:r>
        <w:rPr>
          <w:rFonts w:hint="eastAsia"/>
          <w:color w:val="000000"/>
          <w:sz w:val="36"/>
          <w:szCs w:val="36"/>
        </w:rPr>
        <w:t>第六章  招标项目技术、服务、商务及其他要求</w:t>
      </w:r>
      <w:bookmarkEnd w:id="298"/>
      <w:bookmarkEnd w:id="309"/>
      <w:bookmarkEnd w:id="310"/>
      <w:bookmarkEnd w:id="311"/>
      <w:bookmarkEnd w:id="312"/>
    </w:p>
    <w:p>
      <w:pPr>
        <w:widowControl/>
        <w:numPr>
          <w:ilvl w:val="0"/>
          <w:numId w:val="9"/>
        </w:numPr>
        <w:spacing w:after="50" w:line="360" w:lineRule="auto"/>
        <w:jc w:val="left"/>
        <w:rPr>
          <w:rFonts w:hAnsi="宋体" w:cs="宋体"/>
          <w:b/>
          <w:bCs/>
        </w:rPr>
      </w:pPr>
      <w:bookmarkStart w:id="313" w:name="_Toc8632"/>
      <w:bookmarkStart w:id="314" w:name="_Toc421005909"/>
      <w:bookmarkStart w:id="315" w:name="_Toc12810"/>
      <w:bookmarkStart w:id="316" w:name="_Toc448150559"/>
      <w:r>
        <w:rPr>
          <w:rFonts w:hint="eastAsia" w:hAnsi="宋体" w:cs="宋体"/>
          <w:b/>
          <w:bCs/>
        </w:rPr>
        <w:t>项目概述</w:t>
      </w:r>
    </w:p>
    <w:p>
      <w:pPr>
        <w:pStyle w:val="27"/>
        <w:ind w:firstLine="480" w:firstLineChars="200"/>
        <w:rPr>
          <w:rFonts w:hint="eastAsia" w:hAnsi="宋体" w:eastAsia="宋体" w:cs="宋体"/>
          <w:bCs/>
          <w:color w:val="000000"/>
          <w:lang w:eastAsia="zh-CN"/>
        </w:rPr>
      </w:pPr>
      <w:bookmarkStart w:id="317" w:name="_Toc523757021"/>
      <w:r>
        <w:rPr>
          <w:rFonts w:hint="eastAsia" w:hAnsi="宋体" w:cs="新宋体"/>
        </w:rPr>
        <w:t>1、项目名称：</w:t>
      </w:r>
      <w:r>
        <w:rPr>
          <w:rFonts w:hint="eastAsia" w:hAnsi="宋体" w:cs="新宋体"/>
          <w:lang w:eastAsia="zh-CN"/>
        </w:rPr>
        <w:t>高县人民医院全院污水处理站运维服务项目</w:t>
      </w:r>
    </w:p>
    <w:p>
      <w:pPr>
        <w:pStyle w:val="27"/>
        <w:ind w:firstLine="480" w:firstLineChars="200"/>
        <w:rPr>
          <w:rFonts w:hAnsi="宋体" w:cs="新宋体"/>
          <w:color w:val="auto"/>
        </w:rPr>
      </w:pPr>
      <w:r>
        <w:rPr>
          <w:rFonts w:hint="eastAsia" w:hAnsi="宋体" w:cs="新宋体"/>
        </w:rPr>
        <w:t>2、项目地点：</w:t>
      </w:r>
      <w:r>
        <w:rPr>
          <w:rFonts w:hint="eastAsia" w:ascii="宋体" w:hAnsi="宋体" w:cs="宋体"/>
          <w:color w:val="auto"/>
          <w:sz w:val="24"/>
          <w:lang w:val="en-US" w:eastAsia="zh-CN"/>
        </w:rPr>
        <w:t>四川省宜宾市高县庆符镇</w:t>
      </w:r>
    </w:p>
    <w:p>
      <w:pPr>
        <w:spacing w:line="360" w:lineRule="auto"/>
        <w:ind w:firstLine="420" w:firstLineChars="200"/>
        <w:rPr>
          <w:rFonts w:ascii="宋体" w:hAnsi="宋体" w:cs="新宋体"/>
          <w:color w:val="auto"/>
          <w:sz w:val="24"/>
          <w:szCs w:val="20"/>
        </w:rPr>
      </w:pPr>
      <w:r>
        <w:rPr>
          <w:rFonts w:hint="eastAsia" w:hAnsi="宋体" w:cs="新宋体"/>
          <w:color w:val="auto"/>
        </w:rPr>
        <w:t>3</w:t>
      </w:r>
      <w:r>
        <w:rPr>
          <w:rFonts w:hAnsi="宋体" w:cs="新宋体"/>
          <w:color w:val="auto"/>
        </w:rPr>
        <w:t xml:space="preserve"> 、</w:t>
      </w:r>
      <w:r>
        <w:rPr>
          <w:rFonts w:hint="eastAsia" w:hAnsi="宋体" w:cs="新宋体"/>
          <w:color w:val="auto"/>
        </w:rPr>
        <w:t>项目概况：</w:t>
      </w:r>
      <w:r>
        <w:rPr>
          <w:rFonts w:hint="eastAsia" w:hAnsi="宋体" w:cs="新宋体"/>
          <w:color w:val="auto"/>
          <w:lang w:val="en-US" w:eastAsia="zh-CN"/>
        </w:rPr>
        <w:t xml:space="preserve">高县人民医院共有两个污水处理站，日均处理量为120m³，采用调节池+接触氧化+沉淀+消毒+脱氯处理工艺。    </w:t>
      </w:r>
    </w:p>
    <w:bookmarkEnd w:id="317"/>
    <w:p>
      <w:pPr>
        <w:numPr>
          <w:ilvl w:val="0"/>
          <w:numId w:val="9"/>
        </w:numPr>
        <w:spacing w:before="159" w:beforeLines="50" w:after="159" w:afterLines="50"/>
        <w:ind w:left="0" w:leftChars="0" w:firstLine="0" w:firstLineChars="0"/>
        <w:jc w:val="left"/>
        <w:outlineLvl w:val="1"/>
        <w:rPr>
          <w:rFonts w:ascii="宋体" w:hAnsi="宋体" w:cs="宋体"/>
          <w:b/>
          <w:color w:val="000000"/>
          <w:sz w:val="28"/>
          <w:szCs w:val="32"/>
        </w:rPr>
      </w:pPr>
      <w:bookmarkStart w:id="318" w:name="_Toc28832"/>
      <w:bookmarkStart w:id="319" w:name="_Toc14194"/>
      <w:bookmarkStart w:id="320" w:name="_Toc24556243"/>
      <w:r>
        <w:rPr>
          <w:rFonts w:ascii="宋体" w:hAnsi="宋体" w:cs="宋体"/>
          <w:b/>
          <w:color w:val="000000"/>
          <w:sz w:val="28"/>
          <w:szCs w:val="32"/>
        </w:rPr>
        <w:t>项目服务内容及要求</w:t>
      </w:r>
    </w:p>
    <w:p>
      <w:pPr>
        <w:kinsoku w:val="0"/>
        <w:autoSpaceDE w:val="0"/>
        <w:autoSpaceDN w:val="0"/>
        <w:adjustRightInd w:val="0"/>
        <w:snapToGrid w:val="0"/>
        <w:spacing w:before="157" w:line="221" w:lineRule="auto"/>
        <w:ind w:left="392"/>
        <w:jc w:val="left"/>
        <w:textAlignment w:val="baseline"/>
        <w:rPr>
          <w:rFonts w:ascii="宋体" w:hAnsi="宋体" w:eastAsia="宋体" w:cs="宋体"/>
          <w:snapToGrid w:val="0"/>
          <w:color w:val="000000"/>
          <w:kern w:val="0"/>
          <w:sz w:val="19"/>
          <w:szCs w:val="19"/>
          <w:lang w:val="en-US" w:eastAsia="en-US" w:bidi="ar-SA"/>
        </w:rPr>
      </w:pPr>
      <w:r>
        <w:rPr>
          <w:rFonts w:hint="eastAsia" w:ascii="宋体" w:hAnsi="宋体" w:cs="宋体"/>
          <w:snapToGrid w:val="0"/>
          <w:color w:val="000000"/>
          <w:spacing w:val="1"/>
          <w:kern w:val="0"/>
          <w:sz w:val="19"/>
          <w:szCs w:val="19"/>
          <w:lang w:val="en-US" w:eastAsia="zh-CN" w:bidi="ar-SA"/>
        </w:rPr>
        <w:t>1、内容：</w:t>
      </w:r>
      <w:r>
        <w:rPr>
          <w:rFonts w:ascii="宋体" w:hAnsi="宋体" w:eastAsia="宋体" w:cs="宋体"/>
          <w:snapToGrid w:val="0"/>
          <w:color w:val="000000"/>
          <w:spacing w:val="1"/>
          <w:kern w:val="0"/>
          <w:sz w:val="19"/>
          <w:szCs w:val="19"/>
          <w:lang w:val="en-US" w:eastAsia="en-US" w:bidi="ar-SA"/>
        </w:rPr>
        <w:t>标的名称：</w:t>
      </w:r>
      <w:r>
        <w:rPr>
          <w:rFonts w:hint="eastAsia" w:ascii="宋体" w:hAnsi="宋体" w:eastAsia="宋体" w:cs="宋体"/>
          <w:snapToGrid w:val="0"/>
          <w:color w:val="000000"/>
          <w:spacing w:val="1"/>
          <w:kern w:val="0"/>
          <w:sz w:val="19"/>
          <w:szCs w:val="19"/>
          <w:lang w:val="en-US" w:eastAsia="en-US" w:bidi="ar-SA"/>
        </w:rPr>
        <w:t>高县人民医院全院污水处理站运维服务项目</w:t>
      </w:r>
    </w:p>
    <w:p>
      <w:pPr>
        <w:pStyle w:val="17"/>
      </w:pPr>
    </w:p>
    <w:tbl>
      <w:tblPr>
        <w:tblStyle w:val="4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1603"/>
        <w:gridCol w:w="1069"/>
        <w:gridCol w:w="1710"/>
        <w:gridCol w:w="855"/>
        <w:gridCol w:w="855"/>
        <w:gridCol w:w="748"/>
        <w:gridCol w:w="855"/>
        <w:gridCol w:w="855"/>
        <w:gridCol w:w="10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45" w:hRule="atLeast"/>
        </w:trPr>
        <w:tc>
          <w:tcPr>
            <w:tcW w:w="855" w:type="dxa"/>
            <w:vAlign w:val="center"/>
          </w:tcPr>
          <w:p>
            <w:pPr>
              <w:pStyle w:val="287"/>
              <w:jc w:val="center"/>
            </w:pPr>
            <w:r>
              <w:t>序号</w:t>
            </w:r>
          </w:p>
        </w:tc>
        <w:tc>
          <w:tcPr>
            <w:tcW w:w="1603" w:type="dxa"/>
            <w:vAlign w:val="center"/>
          </w:tcPr>
          <w:p>
            <w:pPr>
              <w:pStyle w:val="287"/>
              <w:jc w:val="center"/>
            </w:pPr>
            <w:r>
              <w:t>标的名称</w:t>
            </w:r>
          </w:p>
        </w:tc>
        <w:tc>
          <w:tcPr>
            <w:tcW w:w="1069" w:type="dxa"/>
            <w:vAlign w:val="center"/>
          </w:tcPr>
          <w:p>
            <w:pPr>
              <w:pStyle w:val="287"/>
              <w:jc w:val="center"/>
            </w:pPr>
            <w:r>
              <w:t>数量</w:t>
            </w:r>
          </w:p>
        </w:tc>
        <w:tc>
          <w:tcPr>
            <w:tcW w:w="1710" w:type="dxa"/>
            <w:vAlign w:val="center"/>
          </w:tcPr>
          <w:p>
            <w:pPr>
              <w:pStyle w:val="287"/>
              <w:jc w:val="center"/>
            </w:pPr>
            <w:r>
              <w:t>标的金额 （元）</w:t>
            </w:r>
          </w:p>
        </w:tc>
        <w:tc>
          <w:tcPr>
            <w:tcW w:w="855" w:type="dxa"/>
            <w:vAlign w:val="center"/>
          </w:tcPr>
          <w:p>
            <w:pPr>
              <w:pStyle w:val="287"/>
              <w:jc w:val="center"/>
            </w:pPr>
            <w:r>
              <w:t>计量单位</w:t>
            </w:r>
          </w:p>
        </w:tc>
        <w:tc>
          <w:tcPr>
            <w:tcW w:w="855" w:type="dxa"/>
            <w:vAlign w:val="center"/>
          </w:tcPr>
          <w:p>
            <w:pPr>
              <w:pStyle w:val="287"/>
              <w:jc w:val="center"/>
            </w:pPr>
            <w:r>
              <w:t>所属行业</w:t>
            </w:r>
          </w:p>
        </w:tc>
        <w:tc>
          <w:tcPr>
            <w:tcW w:w="748" w:type="dxa"/>
            <w:vAlign w:val="center"/>
          </w:tcPr>
          <w:p>
            <w:pPr>
              <w:pStyle w:val="287"/>
              <w:jc w:val="center"/>
            </w:pPr>
            <w:r>
              <w:t>是否涉及核心产品</w:t>
            </w:r>
          </w:p>
        </w:tc>
        <w:tc>
          <w:tcPr>
            <w:tcW w:w="855" w:type="dxa"/>
            <w:vAlign w:val="center"/>
          </w:tcPr>
          <w:p>
            <w:pPr>
              <w:pStyle w:val="287"/>
              <w:jc w:val="center"/>
            </w:pPr>
            <w:r>
              <w:t>是否涉及采购进口产品</w:t>
            </w:r>
          </w:p>
        </w:tc>
        <w:tc>
          <w:tcPr>
            <w:tcW w:w="855" w:type="dxa"/>
            <w:vAlign w:val="center"/>
          </w:tcPr>
          <w:p>
            <w:pPr>
              <w:pStyle w:val="287"/>
              <w:jc w:val="center"/>
            </w:pPr>
            <w:r>
              <w:t>是否涉及采购节能产品</w:t>
            </w:r>
          </w:p>
        </w:tc>
        <w:tc>
          <w:tcPr>
            <w:tcW w:w="1069" w:type="dxa"/>
            <w:vAlign w:val="center"/>
          </w:tcPr>
          <w:p>
            <w:pPr>
              <w:pStyle w:val="287"/>
              <w:jc w:val="center"/>
            </w:pPr>
            <w:r>
              <w:t>是否涉及采购环境标志产品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5" w:hRule="atLeast"/>
        </w:trPr>
        <w:tc>
          <w:tcPr>
            <w:tcW w:w="855" w:type="dxa"/>
            <w:vAlign w:val="center"/>
          </w:tcPr>
          <w:p>
            <w:pPr>
              <w:pStyle w:val="287"/>
              <w:jc w:val="center"/>
            </w:pPr>
            <w:r>
              <w:t>1</w:t>
            </w:r>
          </w:p>
        </w:tc>
        <w:tc>
          <w:tcPr>
            <w:tcW w:w="1603" w:type="dxa"/>
            <w:vAlign w:val="center"/>
          </w:tcPr>
          <w:p>
            <w:pPr>
              <w:pStyle w:val="287"/>
              <w:jc w:val="center"/>
            </w:pPr>
            <w:r>
              <w:t>污水处理站运营服务</w:t>
            </w:r>
          </w:p>
        </w:tc>
        <w:tc>
          <w:tcPr>
            <w:tcW w:w="1069" w:type="dxa"/>
            <w:vAlign w:val="center"/>
          </w:tcPr>
          <w:p>
            <w:pPr>
              <w:pStyle w:val="287"/>
              <w:jc w:val="center"/>
            </w:pPr>
            <w:r>
              <w:t>1.00</w:t>
            </w:r>
          </w:p>
        </w:tc>
        <w:tc>
          <w:tcPr>
            <w:tcW w:w="1710" w:type="dxa"/>
            <w:vAlign w:val="center"/>
          </w:tcPr>
          <w:p>
            <w:pPr>
              <w:pStyle w:val="287"/>
              <w:jc w:val="center"/>
            </w:pPr>
            <w:r>
              <w:rPr>
                <w:rFonts w:hint="eastAsia"/>
                <w:lang w:val="en-US" w:eastAsia="zh-CN"/>
              </w:rPr>
              <w:t>287661</w:t>
            </w:r>
            <w:r>
              <w:rPr>
                <w:rFonts w:hint="eastAsia"/>
              </w:rPr>
              <w:t>元/年</w:t>
            </w:r>
          </w:p>
        </w:tc>
        <w:tc>
          <w:tcPr>
            <w:tcW w:w="855" w:type="dxa"/>
            <w:vAlign w:val="center"/>
          </w:tcPr>
          <w:p>
            <w:pPr>
              <w:pStyle w:val="287"/>
              <w:jc w:val="center"/>
            </w:pPr>
            <w:r>
              <w:t>项</w:t>
            </w:r>
          </w:p>
        </w:tc>
        <w:tc>
          <w:tcPr>
            <w:tcW w:w="855" w:type="dxa"/>
            <w:vAlign w:val="center"/>
          </w:tcPr>
          <w:p>
            <w:pPr>
              <w:pStyle w:val="287"/>
              <w:jc w:val="center"/>
            </w:pPr>
            <w:r>
              <w:t>其他未列明行业</w:t>
            </w:r>
          </w:p>
        </w:tc>
        <w:tc>
          <w:tcPr>
            <w:tcW w:w="748" w:type="dxa"/>
            <w:vAlign w:val="center"/>
          </w:tcPr>
          <w:p>
            <w:pPr>
              <w:pStyle w:val="287"/>
              <w:jc w:val="center"/>
            </w:pPr>
            <w:r>
              <w:t>否</w:t>
            </w:r>
          </w:p>
        </w:tc>
        <w:tc>
          <w:tcPr>
            <w:tcW w:w="855" w:type="dxa"/>
            <w:vAlign w:val="center"/>
          </w:tcPr>
          <w:p>
            <w:pPr>
              <w:pStyle w:val="287"/>
              <w:jc w:val="center"/>
            </w:pPr>
            <w:r>
              <w:t>否</w:t>
            </w:r>
          </w:p>
        </w:tc>
        <w:tc>
          <w:tcPr>
            <w:tcW w:w="855" w:type="dxa"/>
            <w:vAlign w:val="center"/>
          </w:tcPr>
          <w:p>
            <w:pPr>
              <w:pStyle w:val="287"/>
              <w:jc w:val="center"/>
            </w:pPr>
            <w:r>
              <w:t>否</w:t>
            </w:r>
          </w:p>
        </w:tc>
        <w:tc>
          <w:tcPr>
            <w:tcW w:w="1069" w:type="dxa"/>
            <w:vAlign w:val="center"/>
          </w:tcPr>
          <w:p>
            <w:pPr>
              <w:pStyle w:val="287"/>
              <w:jc w:val="center"/>
            </w:pPr>
            <w:r>
              <w:t>否</w:t>
            </w:r>
          </w:p>
        </w:tc>
      </w:tr>
    </w:tbl>
    <w:p>
      <w:pPr>
        <w:kinsoku w:val="0"/>
        <w:autoSpaceDE w:val="0"/>
        <w:autoSpaceDN w:val="0"/>
        <w:adjustRightInd w:val="0"/>
        <w:snapToGrid w:val="0"/>
        <w:spacing w:before="157" w:line="221" w:lineRule="auto"/>
        <w:ind w:left="392"/>
        <w:jc w:val="left"/>
        <w:textAlignment w:val="baseline"/>
        <w:rPr>
          <w:rFonts w:ascii="宋体" w:hAnsi="宋体" w:eastAsia="宋体" w:cs="宋体"/>
          <w:snapToGrid w:val="0"/>
          <w:color w:val="000000"/>
          <w:spacing w:val="1"/>
          <w:kern w:val="0"/>
          <w:sz w:val="19"/>
          <w:szCs w:val="19"/>
          <w:lang w:val="en-US" w:eastAsia="en-US" w:bidi="ar-SA"/>
        </w:rPr>
      </w:pPr>
    </w:p>
    <w:p>
      <w:pPr>
        <w:pStyle w:val="21"/>
        <w:spacing w:before="147" w:line="189" w:lineRule="auto"/>
        <w:ind w:left="12"/>
        <w:outlineLvl w:val="2"/>
        <w:rPr>
          <w:rFonts w:hint="default" w:eastAsia="宋体"/>
          <w:lang w:val="en-US" w:eastAsia="zh-CN"/>
        </w:rPr>
      </w:pPr>
      <w:r>
        <w:rPr>
          <w:rFonts w:hint="eastAsia"/>
          <w:lang w:val="en-US" w:eastAsia="zh-CN"/>
        </w:rPr>
        <w:t xml:space="preserve">     2、服务要求</w:t>
      </w:r>
    </w:p>
    <w:p>
      <w:pPr>
        <w:widowControl/>
        <w:kinsoku w:val="0"/>
        <w:autoSpaceDE w:val="0"/>
        <w:autoSpaceDN w:val="0"/>
        <w:adjustRightInd w:val="0"/>
        <w:snapToGrid w:val="0"/>
        <w:spacing w:line="190" w:lineRule="exact"/>
        <w:jc w:val="left"/>
        <w:textAlignment w:val="baseline"/>
        <w:rPr>
          <w:rFonts w:ascii="Arial" w:hAnsi="Arial" w:eastAsia="Arial" w:cs="Arial"/>
          <w:snapToGrid w:val="0"/>
          <w:color w:val="000000"/>
          <w:kern w:val="0"/>
          <w:szCs w:val="21"/>
          <w:lang w:eastAsia="en-US"/>
        </w:rPr>
      </w:pPr>
    </w:p>
    <w:tbl>
      <w:tblPr>
        <w:tblStyle w:val="288"/>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803"/>
        <w:gridCol w:w="8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049" w:type="dxa"/>
            <w:vAlign w:val="top"/>
          </w:tcPr>
          <w:p>
            <w:pPr>
              <w:kinsoku w:val="0"/>
              <w:autoSpaceDE w:val="0"/>
              <w:autoSpaceDN w:val="0"/>
              <w:adjustRightInd w:val="0"/>
              <w:snapToGrid w:val="0"/>
              <w:spacing w:before="89" w:line="221" w:lineRule="auto"/>
              <w:ind w:left="101"/>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8"/>
                <w:kern w:val="0"/>
                <w:sz w:val="19"/>
                <w:szCs w:val="19"/>
                <w:lang w:val="en-US" w:eastAsia="en-US" w:bidi="ar-SA"/>
              </w:rPr>
              <w:t>参数性质</w:t>
            </w:r>
          </w:p>
        </w:tc>
        <w:tc>
          <w:tcPr>
            <w:tcW w:w="803" w:type="dxa"/>
            <w:vAlign w:val="top"/>
          </w:tcPr>
          <w:p>
            <w:pPr>
              <w:kinsoku w:val="0"/>
              <w:autoSpaceDE w:val="0"/>
              <w:autoSpaceDN w:val="0"/>
              <w:adjustRightInd w:val="0"/>
              <w:snapToGrid w:val="0"/>
              <w:spacing w:before="88" w:line="223" w:lineRule="auto"/>
              <w:ind w:left="94"/>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3"/>
                <w:kern w:val="0"/>
                <w:sz w:val="19"/>
                <w:szCs w:val="19"/>
                <w:lang w:val="en-US" w:eastAsia="en-US" w:bidi="ar-SA"/>
              </w:rPr>
              <w:t>序号</w:t>
            </w:r>
          </w:p>
        </w:tc>
        <w:tc>
          <w:tcPr>
            <w:tcW w:w="8700" w:type="dxa"/>
            <w:vAlign w:val="top"/>
          </w:tcPr>
          <w:p>
            <w:pPr>
              <w:kinsoku w:val="0"/>
              <w:autoSpaceDE w:val="0"/>
              <w:autoSpaceDN w:val="0"/>
              <w:adjustRightInd w:val="0"/>
              <w:snapToGrid w:val="0"/>
              <w:spacing w:before="89" w:line="221" w:lineRule="auto"/>
              <w:ind w:left="96"/>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1"/>
                <w:kern w:val="0"/>
                <w:sz w:val="19"/>
                <w:szCs w:val="19"/>
                <w:lang w:val="en-US" w:eastAsia="en-US" w:bidi="ar-SA"/>
              </w:rPr>
              <w:t>技术参数与性能指标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4" w:hRule="atLeast"/>
        </w:trPr>
        <w:tc>
          <w:tcPr>
            <w:tcW w:w="1049" w:type="dxa"/>
            <w:tcBorders>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03" w:type="dxa"/>
            <w:tcBorders>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8700" w:type="dxa"/>
            <w:tcBorders>
              <w:bottom w:val="nil"/>
            </w:tcBorders>
            <w:vAlign w:val="center"/>
          </w:tcPr>
          <w:p>
            <w:pPr>
              <w:pStyle w:val="254"/>
              <w:numPr>
                <w:ilvl w:val="1"/>
                <w:numId w:val="0"/>
              </w:numPr>
              <w:spacing w:line="240" w:lineRule="auto"/>
              <w:ind w:firstLine="422" w:firstLineChars="200"/>
              <w:jc w:val="left"/>
              <w:rPr>
                <w:rFonts w:hint="eastAsia"/>
                <w:color w:val="auto"/>
                <w:sz w:val="21"/>
                <w:szCs w:val="21"/>
                <w:highlight w:val="none"/>
                <w:lang w:val="en-US" w:eastAsia="en-US"/>
              </w:rPr>
            </w:pPr>
            <w:r>
              <w:rPr>
                <w:rFonts w:hint="eastAsia"/>
                <w:color w:val="auto"/>
                <w:sz w:val="21"/>
                <w:szCs w:val="21"/>
                <w:highlight w:val="none"/>
                <w:lang w:val="en-US" w:eastAsia="en-US"/>
              </w:rPr>
              <w:t>一、项目概况</w:t>
            </w:r>
          </w:p>
          <w:p>
            <w:pPr>
              <w:kinsoku w:val="0"/>
              <w:autoSpaceDE w:val="0"/>
              <w:autoSpaceDN w:val="0"/>
              <w:adjustRightInd w:val="0"/>
              <w:snapToGrid w:val="0"/>
              <w:spacing w:before="195" w:line="240" w:lineRule="auto"/>
              <w:ind w:left="101" w:right="134" w:firstLine="369"/>
              <w:jc w:val="left"/>
              <w:textAlignment w:val="baseline"/>
              <w:rPr>
                <w:rFonts w:ascii="宋体" w:hAnsi="宋体" w:eastAsia="宋体" w:cs="宋体"/>
                <w:snapToGrid w:val="0"/>
                <w:color w:val="auto"/>
                <w:kern w:val="0"/>
                <w:sz w:val="21"/>
                <w:szCs w:val="21"/>
                <w:highlight w:val="none"/>
                <w:lang w:val="en-US" w:eastAsia="en-US" w:bidi="ar-SA"/>
              </w:rPr>
            </w:pPr>
            <w:r>
              <w:rPr>
                <w:rFonts w:hint="eastAsia" w:hAnsi="宋体" w:cs="新宋体"/>
                <w:color w:val="auto"/>
                <w:sz w:val="21"/>
                <w:szCs w:val="21"/>
                <w:highlight w:val="none"/>
                <w:lang w:val="en-US" w:eastAsia="zh-CN"/>
              </w:rPr>
              <w:t>高县人民医院共有两个污水处理站，</w:t>
            </w:r>
            <w:r>
              <w:rPr>
                <w:rFonts w:hint="eastAsia" w:hAnsi="宋体" w:cs="新宋体"/>
                <w:color w:val="auto"/>
                <w:highlight w:val="none"/>
                <w:lang w:val="en-US" w:eastAsia="zh-CN"/>
              </w:rPr>
              <w:t>日均处理量为120m³，</w:t>
            </w:r>
            <w:r>
              <w:rPr>
                <w:rFonts w:hint="eastAsia" w:hAnsi="宋体" w:cs="新宋体"/>
                <w:color w:val="auto"/>
                <w:sz w:val="21"/>
                <w:szCs w:val="21"/>
                <w:highlight w:val="none"/>
                <w:lang w:val="en-US" w:eastAsia="zh-CN"/>
              </w:rPr>
              <w:t xml:space="preserve">采用调节池+接触氧化+沉淀+消毒+脱氯处理工艺。 </w:t>
            </w:r>
          </w:p>
          <w:p>
            <w:pPr>
              <w:pStyle w:val="254"/>
              <w:numPr>
                <w:ilvl w:val="1"/>
                <w:numId w:val="0"/>
              </w:numPr>
              <w:spacing w:line="240" w:lineRule="auto"/>
              <w:ind w:firstLine="422" w:firstLineChars="200"/>
              <w:jc w:val="left"/>
              <w:rPr>
                <w:color w:val="auto"/>
                <w:sz w:val="21"/>
                <w:szCs w:val="21"/>
                <w:highlight w:val="none"/>
              </w:rPr>
            </w:pPr>
            <w:bookmarkStart w:id="321" w:name="_Toc21744"/>
            <w:bookmarkStart w:id="322" w:name="_Toc17604"/>
            <w:bookmarkStart w:id="323" w:name="_Toc7443"/>
            <w:bookmarkStart w:id="324" w:name="_Toc21"/>
            <w:bookmarkStart w:id="325" w:name="_Toc19017"/>
            <w:r>
              <w:rPr>
                <w:rFonts w:hint="eastAsia"/>
                <w:color w:val="auto"/>
                <w:sz w:val="21"/>
                <w:szCs w:val="21"/>
                <w:highlight w:val="none"/>
              </w:rPr>
              <w:t>二、</w:t>
            </w:r>
            <w:bookmarkEnd w:id="321"/>
            <w:bookmarkEnd w:id="322"/>
            <w:bookmarkEnd w:id="323"/>
            <w:bookmarkEnd w:id="324"/>
            <w:r>
              <w:rPr>
                <w:rFonts w:hint="eastAsia"/>
                <w:color w:val="auto"/>
                <w:sz w:val="21"/>
                <w:szCs w:val="21"/>
                <w:highlight w:val="none"/>
              </w:rPr>
              <w:t>服务标准</w:t>
            </w:r>
            <w:bookmarkEnd w:id="325"/>
          </w:p>
          <w:p>
            <w:pPr>
              <w:pStyle w:val="254"/>
              <w:numPr>
                <w:ilvl w:val="1"/>
                <w:numId w:val="0"/>
              </w:numPr>
              <w:spacing w:line="240" w:lineRule="auto"/>
              <w:ind w:firstLine="420" w:firstLineChars="200"/>
              <w:jc w:val="left"/>
              <w:outlineLvl w:val="9"/>
              <w:rPr>
                <w:b w:val="0"/>
                <w:bCs/>
                <w:color w:val="auto"/>
                <w:sz w:val="21"/>
                <w:szCs w:val="21"/>
                <w:highlight w:val="none"/>
              </w:rPr>
            </w:pPr>
            <w:bookmarkStart w:id="326" w:name="_Toc19662"/>
            <w:r>
              <w:rPr>
                <w:b w:val="0"/>
                <w:bCs/>
                <w:color w:val="auto"/>
                <w:sz w:val="21"/>
                <w:szCs w:val="21"/>
                <w:highlight w:val="none"/>
              </w:rPr>
              <w:t>按照相关行业主管要求，保证污水处理站的正常运行和污水达标排放。达到《医疗机构水污染物排放标准》(GB18466-2005)排放标准、排污许可证的要求以及其他法律法规的规定；另需满足如下标准或要求：</w:t>
            </w:r>
            <w:bookmarkEnd w:id="326"/>
          </w:p>
          <w:p>
            <w:pPr>
              <w:pStyle w:val="254"/>
              <w:numPr>
                <w:ilvl w:val="1"/>
                <w:numId w:val="0"/>
              </w:numPr>
              <w:spacing w:line="240" w:lineRule="auto"/>
              <w:ind w:firstLine="420" w:firstLineChars="200"/>
              <w:jc w:val="left"/>
              <w:outlineLvl w:val="9"/>
              <w:rPr>
                <w:b w:val="0"/>
                <w:bCs/>
                <w:color w:val="auto"/>
                <w:sz w:val="21"/>
                <w:szCs w:val="21"/>
                <w:highlight w:val="none"/>
              </w:rPr>
            </w:pPr>
            <w:bookmarkStart w:id="327" w:name="_Toc20486"/>
            <w:bookmarkStart w:id="328" w:name="_Toc24886"/>
            <w:r>
              <w:rPr>
                <w:rFonts w:hint="eastAsia"/>
                <w:b w:val="0"/>
                <w:bCs/>
                <w:color w:val="auto"/>
                <w:sz w:val="21"/>
                <w:szCs w:val="21"/>
                <w:highlight w:val="none"/>
              </w:rPr>
              <w:t>1.</w:t>
            </w:r>
            <w:r>
              <w:rPr>
                <w:b w:val="0"/>
                <w:bCs/>
                <w:color w:val="auto"/>
                <w:sz w:val="21"/>
                <w:szCs w:val="21"/>
                <w:highlight w:val="none"/>
              </w:rPr>
              <w:t>《医疗机构水污染物排放标准》(GB 18466-2005)；</w:t>
            </w:r>
            <w:bookmarkEnd w:id="327"/>
          </w:p>
          <w:p>
            <w:pPr>
              <w:pStyle w:val="254"/>
              <w:numPr>
                <w:ilvl w:val="1"/>
                <w:numId w:val="0"/>
              </w:numPr>
              <w:spacing w:line="240" w:lineRule="auto"/>
              <w:ind w:firstLine="420" w:firstLineChars="200"/>
              <w:jc w:val="left"/>
              <w:outlineLvl w:val="9"/>
              <w:rPr>
                <w:b w:val="0"/>
                <w:bCs/>
                <w:color w:val="auto"/>
                <w:sz w:val="21"/>
                <w:szCs w:val="21"/>
                <w:highlight w:val="none"/>
              </w:rPr>
            </w:pPr>
            <w:bookmarkStart w:id="329" w:name="_Toc9908"/>
            <w:r>
              <w:rPr>
                <w:rFonts w:hint="eastAsia"/>
                <w:b w:val="0"/>
                <w:bCs/>
                <w:color w:val="auto"/>
                <w:sz w:val="21"/>
                <w:szCs w:val="21"/>
                <w:highlight w:val="none"/>
              </w:rPr>
              <w:t>2.</w:t>
            </w:r>
            <w:r>
              <w:rPr>
                <w:b w:val="0"/>
                <w:bCs/>
                <w:color w:val="auto"/>
                <w:sz w:val="21"/>
                <w:szCs w:val="21"/>
                <w:highlight w:val="none"/>
              </w:rPr>
              <w:t>《污水综合排放标准》</w:t>
            </w:r>
            <w:r>
              <w:rPr>
                <w:rFonts w:hint="eastAsia"/>
                <w:b w:val="0"/>
                <w:bCs/>
                <w:color w:val="auto"/>
                <w:sz w:val="21"/>
                <w:szCs w:val="21"/>
                <w:highlight w:val="none"/>
              </w:rPr>
              <w:t>(</w:t>
            </w:r>
            <w:r>
              <w:rPr>
                <w:b w:val="0"/>
                <w:bCs/>
                <w:color w:val="auto"/>
                <w:sz w:val="21"/>
                <w:szCs w:val="21"/>
                <w:highlight w:val="none"/>
              </w:rPr>
              <w:t>GB 8978-1996</w:t>
            </w:r>
            <w:r>
              <w:rPr>
                <w:rFonts w:hint="eastAsia"/>
                <w:b w:val="0"/>
                <w:bCs/>
                <w:color w:val="auto"/>
                <w:sz w:val="21"/>
                <w:szCs w:val="21"/>
                <w:highlight w:val="none"/>
              </w:rPr>
              <w:t>)</w:t>
            </w:r>
            <w:r>
              <w:rPr>
                <w:b w:val="0"/>
                <w:bCs/>
                <w:color w:val="auto"/>
                <w:sz w:val="21"/>
                <w:szCs w:val="21"/>
                <w:highlight w:val="none"/>
              </w:rPr>
              <w:t>；</w:t>
            </w:r>
            <w:bookmarkEnd w:id="329"/>
          </w:p>
          <w:p>
            <w:pPr>
              <w:pStyle w:val="254"/>
              <w:numPr>
                <w:ilvl w:val="1"/>
                <w:numId w:val="0"/>
              </w:numPr>
              <w:spacing w:line="240" w:lineRule="auto"/>
              <w:ind w:firstLine="420" w:firstLineChars="200"/>
              <w:jc w:val="left"/>
              <w:outlineLvl w:val="9"/>
              <w:rPr>
                <w:b w:val="0"/>
                <w:bCs/>
                <w:color w:val="auto"/>
                <w:sz w:val="21"/>
                <w:szCs w:val="21"/>
                <w:highlight w:val="none"/>
              </w:rPr>
            </w:pPr>
            <w:bookmarkStart w:id="330" w:name="_Toc16278"/>
            <w:r>
              <w:rPr>
                <w:rFonts w:hint="eastAsia"/>
                <w:b w:val="0"/>
                <w:bCs/>
                <w:color w:val="auto"/>
                <w:sz w:val="21"/>
                <w:szCs w:val="21"/>
                <w:highlight w:val="none"/>
              </w:rPr>
              <w:t>3.</w:t>
            </w:r>
            <w:r>
              <w:rPr>
                <w:b w:val="0"/>
                <w:bCs/>
                <w:color w:val="auto"/>
                <w:sz w:val="21"/>
                <w:szCs w:val="21"/>
                <w:highlight w:val="none"/>
              </w:rPr>
              <w:t>《医院污水处理工程技术规范》</w:t>
            </w:r>
            <w:r>
              <w:rPr>
                <w:rFonts w:hint="eastAsia"/>
                <w:b w:val="0"/>
                <w:bCs/>
                <w:color w:val="auto"/>
                <w:sz w:val="21"/>
                <w:szCs w:val="21"/>
                <w:highlight w:val="none"/>
              </w:rPr>
              <w:t>(</w:t>
            </w:r>
            <w:r>
              <w:rPr>
                <w:b w:val="0"/>
                <w:bCs/>
                <w:color w:val="auto"/>
                <w:sz w:val="21"/>
                <w:szCs w:val="21"/>
                <w:highlight w:val="none"/>
              </w:rPr>
              <w:t>HJ 2029-2013</w:t>
            </w:r>
            <w:r>
              <w:rPr>
                <w:rFonts w:hint="eastAsia"/>
                <w:b w:val="0"/>
                <w:bCs/>
                <w:color w:val="auto"/>
                <w:sz w:val="21"/>
                <w:szCs w:val="21"/>
                <w:highlight w:val="none"/>
              </w:rPr>
              <w:t>)</w:t>
            </w:r>
            <w:r>
              <w:rPr>
                <w:b w:val="0"/>
                <w:bCs/>
                <w:color w:val="auto"/>
                <w:sz w:val="21"/>
                <w:szCs w:val="21"/>
                <w:highlight w:val="none"/>
              </w:rPr>
              <w:t>；</w:t>
            </w:r>
            <w:bookmarkEnd w:id="330"/>
          </w:p>
          <w:p>
            <w:pPr>
              <w:pStyle w:val="254"/>
              <w:numPr>
                <w:ilvl w:val="1"/>
                <w:numId w:val="0"/>
              </w:numPr>
              <w:spacing w:line="240" w:lineRule="auto"/>
              <w:ind w:firstLine="420" w:firstLineChars="200"/>
              <w:jc w:val="left"/>
              <w:outlineLvl w:val="9"/>
              <w:rPr>
                <w:b w:val="0"/>
                <w:bCs/>
                <w:color w:val="auto"/>
                <w:sz w:val="21"/>
                <w:szCs w:val="21"/>
                <w:highlight w:val="none"/>
              </w:rPr>
            </w:pPr>
            <w:bookmarkStart w:id="331" w:name="_Toc3102"/>
            <w:r>
              <w:rPr>
                <w:rFonts w:hint="eastAsia"/>
                <w:b w:val="0"/>
                <w:bCs/>
                <w:color w:val="auto"/>
                <w:sz w:val="21"/>
                <w:szCs w:val="21"/>
                <w:highlight w:val="none"/>
                <w:lang w:val="en-US" w:eastAsia="zh-CN"/>
              </w:rPr>
              <w:t>4</w:t>
            </w:r>
            <w:r>
              <w:rPr>
                <w:rFonts w:hint="eastAsia"/>
                <w:b w:val="0"/>
                <w:bCs/>
                <w:color w:val="auto"/>
                <w:sz w:val="21"/>
                <w:szCs w:val="21"/>
                <w:highlight w:val="none"/>
              </w:rPr>
              <w:t>.</w:t>
            </w:r>
            <w:r>
              <w:rPr>
                <w:b w:val="0"/>
                <w:bCs/>
                <w:color w:val="auto"/>
                <w:sz w:val="21"/>
                <w:szCs w:val="21"/>
                <w:highlight w:val="none"/>
              </w:rPr>
              <w:t>《排污许可证申请与核发技术规范 医疗机构》</w:t>
            </w:r>
            <w:r>
              <w:rPr>
                <w:rFonts w:hint="eastAsia"/>
                <w:b w:val="0"/>
                <w:bCs/>
                <w:color w:val="auto"/>
                <w:sz w:val="21"/>
                <w:szCs w:val="21"/>
                <w:highlight w:val="none"/>
              </w:rPr>
              <w:t>(</w:t>
            </w:r>
            <w:r>
              <w:rPr>
                <w:b w:val="0"/>
                <w:bCs/>
                <w:color w:val="auto"/>
                <w:sz w:val="21"/>
                <w:szCs w:val="21"/>
                <w:highlight w:val="none"/>
              </w:rPr>
              <w:t>HJ 1105-2020</w:t>
            </w:r>
            <w:r>
              <w:rPr>
                <w:rFonts w:hint="eastAsia"/>
                <w:b w:val="0"/>
                <w:bCs/>
                <w:color w:val="auto"/>
                <w:sz w:val="21"/>
                <w:szCs w:val="21"/>
                <w:highlight w:val="none"/>
              </w:rPr>
              <w:t>)</w:t>
            </w:r>
            <w:r>
              <w:rPr>
                <w:b w:val="0"/>
                <w:bCs/>
                <w:color w:val="auto"/>
                <w:sz w:val="21"/>
                <w:szCs w:val="21"/>
                <w:highlight w:val="none"/>
              </w:rPr>
              <w:t>；</w:t>
            </w:r>
            <w:bookmarkEnd w:id="331"/>
          </w:p>
          <w:p>
            <w:pPr>
              <w:pStyle w:val="254"/>
              <w:numPr>
                <w:ilvl w:val="1"/>
                <w:numId w:val="0"/>
              </w:numPr>
              <w:spacing w:line="240" w:lineRule="auto"/>
              <w:ind w:firstLine="420" w:firstLineChars="200"/>
              <w:jc w:val="left"/>
              <w:outlineLvl w:val="9"/>
              <w:rPr>
                <w:b w:val="0"/>
                <w:bCs/>
                <w:color w:val="auto"/>
                <w:sz w:val="21"/>
                <w:szCs w:val="21"/>
                <w:highlight w:val="none"/>
              </w:rPr>
            </w:pPr>
            <w:bookmarkStart w:id="332" w:name="_Toc30385"/>
            <w:r>
              <w:rPr>
                <w:rFonts w:hint="eastAsia"/>
                <w:b w:val="0"/>
                <w:bCs/>
                <w:color w:val="auto"/>
                <w:sz w:val="21"/>
                <w:szCs w:val="21"/>
                <w:highlight w:val="none"/>
                <w:lang w:val="en-US" w:eastAsia="zh-CN"/>
              </w:rPr>
              <w:t>5</w:t>
            </w:r>
            <w:r>
              <w:rPr>
                <w:rFonts w:hint="eastAsia"/>
                <w:b w:val="0"/>
                <w:bCs/>
                <w:color w:val="auto"/>
                <w:sz w:val="21"/>
                <w:szCs w:val="21"/>
                <w:highlight w:val="none"/>
              </w:rPr>
              <w:t>.</w:t>
            </w:r>
            <w:r>
              <w:rPr>
                <w:b w:val="0"/>
                <w:bCs/>
                <w:color w:val="auto"/>
                <w:sz w:val="21"/>
                <w:szCs w:val="21"/>
                <w:highlight w:val="none"/>
              </w:rPr>
              <w:t>《排污许可管理条例》</w:t>
            </w:r>
            <w:r>
              <w:rPr>
                <w:rFonts w:hint="eastAsia"/>
                <w:b w:val="0"/>
                <w:bCs/>
                <w:color w:val="auto"/>
                <w:sz w:val="21"/>
                <w:szCs w:val="21"/>
                <w:highlight w:val="none"/>
              </w:rPr>
              <w:t>(</w:t>
            </w:r>
            <w:r>
              <w:rPr>
                <w:b w:val="0"/>
                <w:bCs/>
                <w:color w:val="auto"/>
                <w:sz w:val="21"/>
                <w:szCs w:val="21"/>
                <w:highlight w:val="none"/>
              </w:rPr>
              <w:t>中华人民共和国国务院令第736号</w:t>
            </w:r>
            <w:r>
              <w:rPr>
                <w:rFonts w:hint="eastAsia"/>
                <w:b w:val="0"/>
                <w:bCs/>
                <w:color w:val="auto"/>
                <w:sz w:val="21"/>
                <w:szCs w:val="21"/>
                <w:highlight w:val="none"/>
              </w:rPr>
              <w:t>)</w:t>
            </w:r>
            <w:r>
              <w:rPr>
                <w:b w:val="0"/>
                <w:bCs/>
                <w:color w:val="auto"/>
                <w:sz w:val="21"/>
                <w:szCs w:val="21"/>
                <w:highlight w:val="none"/>
              </w:rPr>
              <w:t>；</w:t>
            </w:r>
            <w:bookmarkEnd w:id="332"/>
          </w:p>
          <w:p>
            <w:pPr>
              <w:pStyle w:val="254"/>
              <w:numPr>
                <w:ilvl w:val="1"/>
                <w:numId w:val="0"/>
              </w:numPr>
              <w:spacing w:line="240" w:lineRule="auto"/>
              <w:ind w:firstLine="420" w:firstLineChars="200"/>
              <w:jc w:val="left"/>
              <w:outlineLvl w:val="9"/>
              <w:rPr>
                <w:b w:val="0"/>
                <w:bCs/>
                <w:color w:val="auto"/>
                <w:sz w:val="21"/>
                <w:szCs w:val="21"/>
                <w:highlight w:val="none"/>
              </w:rPr>
            </w:pPr>
            <w:bookmarkStart w:id="333" w:name="_Toc17419"/>
            <w:r>
              <w:rPr>
                <w:rFonts w:hint="eastAsia"/>
                <w:b w:val="0"/>
                <w:bCs/>
                <w:color w:val="auto"/>
                <w:sz w:val="21"/>
                <w:szCs w:val="21"/>
                <w:highlight w:val="none"/>
                <w:lang w:val="en-US" w:eastAsia="zh-CN"/>
              </w:rPr>
              <w:t>6</w:t>
            </w:r>
            <w:r>
              <w:rPr>
                <w:rFonts w:hint="eastAsia"/>
                <w:b w:val="0"/>
                <w:bCs/>
                <w:color w:val="auto"/>
                <w:sz w:val="21"/>
                <w:szCs w:val="21"/>
                <w:highlight w:val="none"/>
              </w:rPr>
              <w:t>.</w:t>
            </w:r>
            <w:r>
              <w:rPr>
                <w:b w:val="0"/>
                <w:bCs/>
                <w:color w:val="auto"/>
                <w:sz w:val="21"/>
                <w:szCs w:val="21"/>
                <w:highlight w:val="none"/>
              </w:rPr>
              <w:t>《水污染源在线监测系统安装技术规范》</w:t>
            </w:r>
            <w:r>
              <w:rPr>
                <w:rFonts w:hint="eastAsia"/>
                <w:b w:val="0"/>
                <w:bCs/>
                <w:color w:val="auto"/>
                <w:sz w:val="21"/>
                <w:szCs w:val="21"/>
                <w:highlight w:val="none"/>
              </w:rPr>
              <w:t>(H</w:t>
            </w:r>
            <w:r>
              <w:rPr>
                <w:b w:val="0"/>
                <w:bCs/>
                <w:color w:val="auto"/>
                <w:sz w:val="21"/>
                <w:szCs w:val="21"/>
                <w:highlight w:val="none"/>
              </w:rPr>
              <w:t>J/T353-2007)；</w:t>
            </w:r>
            <w:bookmarkEnd w:id="333"/>
          </w:p>
          <w:p>
            <w:pPr>
              <w:pStyle w:val="254"/>
              <w:numPr>
                <w:ilvl w:val="1"/>
                <w:numId w:val="0"/>
              </w:numPr>
              <w:spacing w:line="240" w:lineRule="auto"/>
              <w:ind w:firstLine="420" w:firstLineChars="200"/>
              <w:jc w:val="left"/>
              <w:outlineLvl w:val="9"/>
              <w:rPr>
                <w:b w:val="0"/>
                <w:bCs/>
                <w:color w:val="auto"/>
                <w:sz w:val="21"/>
                <w:szCs w:val="21"/>
                <w:highlight w:val="none"/>
              </w:rPr>
            </w:pPr>
            <w:bookmarkStart w:id="334" w:name="_Toc14868"/>
            <w:r>
              <w:rPr>
                <w:rFonts w:hint="eastAsia"/>
                <w:b w:val="0"/>
                <w:bCs/>
                <w:color w:val="auto"/>
                <w:sz w:val="21"/>
                <w:szCs w:val="21"/>
                <w:highlight w:val="none"/>
                <w:lang w:val="en-US" w:eastAsia="zh-CN"/>
              </w:rPr>
              <w:t>7</w:t>
            </w:r>
            <w:r>
              <w:rPr>
                <w:rFonts w:hint="eastAsia"/>
                <w:b w:val="0"/>
                <w:bCs/>
                <w:color w:val="auto"/>
                <w:sz w:val="21"/>
                <w:szCs w:val="21"/>
                <w:highlight w:val="none"/>
              </w:rPr>
              <w:t>.</w:t>
            </w:r>
            <w:r>
              <w:rPr>
                <w:b w:val="0"/>
                <w:bCs/>
                <w:color w:val="auto"/>
                <w:sz w:val="21"/>
                <w:szCs w:val="21"/>
                <w:highlight w:val="none"/>
              </w:rPr>
              <w:t>《水污染源在线监测系统验收技术规范》(HT/T354-2007)；</w:t>
            </w:r>
            <w:bookmarkEnd w:id="334"/>
          </w:p>
          <w:p>
            <w:pPr>
              <w:pStyle w:val="254"/>
              <w:numPr>
                <w:ilvl w:val="1"/>
                <w:numId w:val="0"/>
              </w:numPr>
              <w:spacing w:line="240" w:lineRule="auto"/>
              <w:ind w:firstLine="420" w:firstLineChars="200"/>
              <w:jc w:val="left"/>
              <w:outlineLvl w:val="9"/>
              <w:rPr>
                <w:b w:val="0"/>
                <w:bCs/>
                <w:color w:val="auto"/>
                <w:sz w:val="21"/>
                <w:szCs w:val="21"/>
                <w:highlight w:val="none"/>
              </w:rPr>
            </w:pPr>
            <w:bookmarkStart w:id="335" w:name="_Toc11082"/>
            <w:r>
              <w:rPr>
                <w:rFonts w:hint="eastAsia"/>
                <w:b w:val="0"/>
                <w:bCs/>
                <w:color w:val="auto"/>
                <w:sz w:val="21"/>
                <w:szCs w:val="21"/>
                <w:highlight w:val="none"/>
                <w:lang w:val="en-US" w:eastAsia="zh-CN"/>
              </w:rPr>
              <w:t>8</w:t>
            </w:r>
            <w:r>
              <w:rPr>
                <w:rFonts w:hint="eastAsia"/>
                <w:b w:val="0"/>
                <w:bCs/>
                <w:color w:val="auto"/>
                <w:sz w:val="21"/>
                <w:szCs w:val="21"/>
                <w:highlight w:val="none"/>
              </w:rPr>
              <w:t>.</w:t>
            </w:r>
            <w:r>
              <w:rPr>
                <w:b w:val="0"/>
                <w:bCs/>
                <w:color w:val="auto"/>
                <w:sz w:val="21"/>
                <w:szCs w:val="21"/>
                <w:highlight w:val="none"/>
              </w:rPr>
              <w:t>《</w:t>
            </w:r>
            <w:r>
              <w:rPr>
                <w:rFonts w:hint="eastAsia"/>
                <w:b w:val="0"/>
                <w:bCs/>
                <w:color w:val="auto"/>
                <w:sz w:val="21"/>
                <w:szCs w:val="21"/>
                <w:highlight w:val="none"/>
              </w:rPr>
              <w:t>水</w:t>
            </w:r>
            <w:r>
              <w:rPr>
                <w:b w:val="0"/>
                <w:bCs/>
                <w:color w:val="auto"/>
                <w:sz w:val="21"/>
                <w:szCs w:val="21"/>
                <w:highlight w:val="none"/>
              </w:rPr>
              <w:t>污染源在线监测系统运行与考核技术规范》(HJ/T355-2007)；</w:t>
            </w:r>
            <w:bookmarkEnd w:id="335"/>
          </w:p>
          <w:p>
            <w:pPr>
              <w:pStyle w:val="254"/>
              <w:numPr>
                <w:ilvl w:val="1"/>
                <w:numId w:val="0"/>
              </w:numPr>
              <w:spacing w:line="240" w:lineRule="auto"/>
              <w:ind w:firstLine="420" w:firstLineChars="200"/>
              <w:jc w:val="left"/>
              <w:outlineLvl w:val="9"/>
              <w:rPr>
                <w:b w:val="0"/>
                <w:bCs/>
                <w:color w:val="auto"/>
                <w:sz w:val="21"/>
                <w:szCs w:val="21"/>
                <w:highlight w:val="none"/>
              </w:rPr>
            </w:pPr>
            <w:bookmarkStart w:id="336" w:name="_Toc4965"/>
            <w:r>
              <w:rPr>
                <w:rFonts w:hint="eastAsia"/>
                <w:b w:val="0"/>
                <w:bCs/>
                <w:color w:val="auto"/>
                <w:sz w:val="21"/>
                <w:szCs w:val="21"/>
                <w:highlight w:val="none"/>
                <w:lang w:val="en-US" w:eastAsia="zh-CN"/>
              </w:rPr>
              <w:t>9</w:t>
            </w:r>
            <w:r>
              <w:rPr>
                <w:rFonts w:hint="eastAsia"/>
                <w:b w:val="0"/>
                <w:bCs/>
                <w:color w:val="auto"/>
                <w:sz w:val="21"/>
                <w:szCs w:val="21"/>
                <w:highlight w:val="none"/>
              </w:rPr>
              <w:t>.</w:t>
            </w:r>
            <w:r>
              <w:rPr>
                <w:b w:val="0"/>
                <w:bCs/>
                <w:color w:val="auto"/>
                <w:sz w:val="21"/>
                <w:szCs w:val="21"/>
                <w:highlight w:val="none"/>
              </w:rPr>
              <w:t>《水污染源在线监测系统数据有效性判别技术规范》(HJ/T356-2007)；</w:t>
            </w:r>
            <w:bookmarkEnd w:id="336"/>
          </w:p>
          <w:p>
            <w:pPr>
              <w:pStyle w:val="254"/>
              <w:numPr>
                <w:ilvl w:val="1"/>
                <w:numId w:val="0"/>
              </w:numPr>
              <w:spacing w:line="240" w:lineRule="auto"/>
              <w:ind w:firstLine="420" w:firstLineChars="200"/>
              <w:jc w:val="left"/>
              <w:outlineLvl w:val="9"/>
              <w:rPr>
                <w:b w:val="0"/>
                <w:bCs/>
                <w:color w:val="auto"/>
                <w:sz w:val="21"/>
                <w:szCs w:val="21"/>
                <w:highlight w:val="none"/>
              </w:rPr>
            </w:pPr>
            <w:bookmarkStart w:id="337" w:name="_Toc18131"/>
            <w:r>
              <w:rPr>
                <w:rFonts w:hint="eastAsia"/>
                <w:b w:val="0"/>
                <w:bCs/>
                <w:color w:val="auto"/>
                <w:sz w:val="21"/>
                <w:szCs w:val="21"/>
                <w:highlight w:val="none"/>
                <w:lang w:val="en-US" w:eastAsia="zh-CN"/>
              </w:rPr>
              <w:t>10</w:t>
            </w:r>
            <w:r>
              <w:rPr>
                <w:rFonts w:hint="eastAsia"/>
                <w:b w:val="0"/>
                <w:bCs/>
                <w:color w:val="auto"/>
                <w:sz w:val="21"/>
                <w:szCs w:val="21"/>
                <w:highlight w:val="none"/>
              </w:rPr>
              <w:t>.</w:t>
            </w:r>
            <w:r>
              <w:rPr>
                <w:b w:val="0"/>
                <w:bCs/>
                <w:color w:val="auto"/>
                <w:sz w:val="21"/>
                <w:szCs w:val="21"/>
                <w:highlight w:val="none"/>
              </w:rPr>
              <w:t>《污染源在线自动监控(监测)系统数据传输标准》(HJ/T212-2005)；</w:t>
            </w:r>
            <w:bookmarkEnd w:id="337"/>
          </w:p>
          <w:p>
            <w:pPr>
              <w:pStyle w:val="254"/>
              <w:numPr>
                <w:ilvl w:val="1"/>
                <w:numId w:val="0"/>
              </w:numPr>
              <w:spacing w:line="240" w:lineRule="auto"/>
              <w:ind w:firstLine="420" w:firstLineChars="200"/>
              <w:jc w:val="left"/>
              <w:outlineLvl w:val="9"/>
              <w:rPr>
                <w:b w:val="0"/>
                <w:bCs/>
                <w:color w:val="auto"/>
                <w:sz w:val="21"/>
                <w:szCs w:val="21"/>
                <w:highlight w:val="none"/>
              </w:rPr>
            </w:pPr>
            <w:bookmarkStart w:id="338" w:name="_Toc19579"/>
            <w:r>
              <w:rPr>
                <w:rFonts w:hint="eastAsia"/>
                <w:b w:val="0"/>
                <w:bCs/>
                <w:color w:val="auto"/>
                <w:sz w:val="21"/>
                <w:szCs w:val="21"/>
                <w:highlight w:val="none"/>
              </w:rPr>
              <w:t>1</w:t>
            </w:r>
            <w:r>
              <w:rPr>
                <w:rFonts w:hint="eastAsia"/>
                <w:b w:val="0"/>
                <w:bCs/>
                <w:color w:val="auto"/>
                <w:sz w:val="21"/>
                <w:szCs w:val="21"/>
                <w:highlight w:val="none"/>
                <w:lang w:val="en-US" w:eastAsia="zh-CN"/>
              </w:rPr>
              <w:t>1</w:t>
            </w:r>
            <w:r>
              <w:rPr>
                <w:rFonts w:hint="eastAsia"/>
                <w:b w:val="0"/>
                <w:bCs/>
                <w:color w:val="auto"/>
                <w:sz w:val="21"/>
                <w:szCs w:val="21"/>
                <w:highlight w:val="none"/>
              </w:rPr>
              <w:t>.《水污染源在线监测系统(CODCr、NH3-N等)运行技术规范》</w:t>
            </w:r>
            <w:r>
              <w:rPr>
                <w:b w:val="0"/>
                <w:bCs/>
                <w:color w:val="auto"/>
                <w:sz w:val="21"/>
                <w:szCs w:val="21"/>
                <w:highlight w:val="none"/>
              </w:rPr>
              <w:t>(HJ355-2019)；</w:t>
            </w:r>
            <w:bookmarkEnd w:id="338"/>
          </w:p>
          <w:p>
            <w:pPr>
              <w:pStyle w:val="254"/>
              <w:numPr>
                <w:ilvl w:val="1"/>
                <w:numId w:val="0"/>
              </w:numPr>
              <w:spacing w:line="240" w:lineRule="auto"/>
              <w:ind w:firstLine="420" w:firstLineChars="200"/>
              <w:jc w:val="left"/>
              <w:outlineLvl w:val="9"/>
              <w:rPr>
                <w:b w:val="0"/>
                <w:bCs/>
                <w:color w:val="auto"/>
                <w:sz w:val="21"/>
                <w:szCs w:val="21"/>
                <w:highlight w:val="none"/>
              </w:rPr>
            </w:pPr>
            <w:r>
              <w:rPr>
                <w:rFonts w:hint="eastAsia"/>
                <w:b w:val="0"/>
                <w:bCs/>
                <w:color w:val="auto"/>
                <w:sz w:val="21"/>
                <w:szCs w:val="21"/>
                <w:highlight w:val="none"/>
              </w:rPr>
              <w:t>1</w:t>
            </w:r>
            <w:r>
              <w:rPr>
                <w:rFonts w:hint="eastAsia"/>
                <w:b w:val="0"/>
                <w:bCs/>
                <w:color w:val="auto"/>
                <w:sz w:val="21"/>
                <w:szCs w:val="21"/>
                <w:highlight w:val="none"/>
                <w:lang w:val="en-US" w:eastAsia="zh-CN"/>
              </w:rPr>
              <w:t>2</w:t>
            </w:r>
            <w:r>
              <w:rPr>
                <w:rFonts w:hint="eastAsia"/>
                <w:b w:val="0"/>
                <w:bCs/>
                <w:color w:val="auto"/>
                <w:sz w:val="21"/>
                <w:szCs w:val="21"/>
                <w:highlight w:val="none"/>
              </w:rPr>
              <w:t>.</w:t>
            </w:r>
            <w:r>
              <w:rPr>
                <w:b w:val="0"/>
                <w:bCs/>
                <w:color w:val="auto"/>
                <w:sz w:val="21"/>
                <w:szCs w:val="21"/>
                <w:highlight w:val="none"/>
              </w:rPr>
              <w:t>通行的运营惯例和方法以及谨慎运营的原则。</w:t>
            </w:r>
          </w:p>
          <w:bookmarkEnd w:id="328"/>
          <w:p>
            <w:pPr>
              <w:pStyle w:val="254"/>
              <w:numPr>
                <w:ilvl w:val="1"/>
                <w:numId w:val="0"/>
              </w:numPr>
              <w:spacing w:line="240" w:lineRule="auto"/>
              <w:ind w:firstLine="422" w:firstLineChars="200"/>
              <w:jc w:val="left"/>
              <w:rPr>
                <w:rFonts w:cs="宋体"/>
                <w:color w:val="auto"/>
                <w:sz w:val="21"/>
                <w:szCs w:val="21"/>
                <w:highlight w:val="none"/>
              </w:rPr>
            </w:pPr>
            <w:bookmarkStart w:id="339" w:name="_Toc28830"/>
            <w:r>
              <w:rPr>
                <w:rFonts w:hint="eastAsia" w:cs="宋体"/>
                <w:color w:val="auto"/>
                <w:sz w:val="21"/>
                <w:szCs w:val="21"/>
                <w:highlight w:val="none"/>
              </w:rPr>
              <w:t>三、服务内容及要求</w:t>
            </w:r>
            <w:bookmarkEnd w:id="339"/>
          </w:p>
          <w:p>
            <w:pPr>
              <w:spacing w:line="240" w:lineRule="auto"/>
              <w:ind w:firstLine="422" w:firstLineChars="200"/>
              <w:jc w:val="left"/>
              <w:rPr>
                <w:rFonts w:cs="宋体"/>
                <w:b/>
                <w:bCs/>
                <w:color w:val="auto"/>
                <w:sz w:val="21"/>
                <w:szCs w:val="21"/>
                <w:highlight w:val="none"/>
              </w:rPr>
            </w:pPr>
            <w:r>
              <w:rPr>
                <w:rFonts w:hint="eastAsia" w:cs="宋体"/>
                <w:b/>
                <w:bCs/>
                <w:color w:val="auto"/>
                <w:sz w:val="21"/>
                <w:szCs w:val="21"/>
                <w:highlight w:val="none"/>
              </w:rPr>
              <w:t>(一)</w:t>
            </w:r>
            <w:r>
              <w:rPr>
                <w:rFonts w:hint="eastAsia" w:cs="宋体"/>
                <w:color w:val="auto"/>
                <w:sz w:val="21"/>
                <w:szCs w:val="21"/>
                <w:highlight w:val="none"/>
              </w:rPr>
              <w:t>★</w:t>
            </w:r>
            <w:r>
              <w:rPr>
                <w:rFonts w:hint="eastAsia" w:cs="宋体"/>
                <w:b/>
                <w:bCs/>
                <w:color w:val="auto"/>
                <w:sz w:val="21"/>
                <w:szCs w:val="21"/>
                <w:highlight w:val="none"/>
              </w:rPr>
              <w:t>人员配置要求</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1.运维团队要求</w:t>
            </w:r>
          </w:p>
          <w:p>
            <w:pPr>
              <w:spacing w:line="240" w:lineRule="auto"/>
              <w:ind w:firstLine="371" w:firstLineChars="17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配置驻场操作人员不少于1名必须持有污水处理工证书方可上岗，且具有合格的健康体检报告 (供应商须在响应文件中提供承诺函，格式自拟)。配置一名项目经理（负责所有站点操作人员、污水站相关事项进行管理，迎检等）、一名技术工程师（负责每月设备巡检，维护）、一名设备维修工程师（负责处理污水站应急故障问题）、一名在线数据管理员（负责每日将在线数据发送至运维管理群，数据异常通报，标记等）、一名在线运维工程师等运维人员（负责每周对在线监测设备进行维护工作），一名环保管家（负责全院污水处理站日常资料整理、填报及其他环保相关问题解答及咨询等），保证污水处理站正常运行，出水稳定达标。</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2.人员要求</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(1)供应商拟为本项目配置的项目负责人及操作人员必须全面了解采购人污水处理工艺，熟悉国家环保相关法律法规、行业规定及流程，严格按照采购人管理要求执行运营托管服务。   </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(2)供应商需于合同签订日起1个月内将现场操作人员健康证提交于采购人职能部门备案，同时每年开展一次健康体检，档案交采购人存档，体检费用由供应商自行承担。</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3.其他配套服务</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(1)项目负责人定期对污水站所有资料进行核查、整理、归档、装订。</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(2)供应商定期对</w:t>
            </w:r>
            <w:r>
              <w:rPr>
                <w:rFonts w:hint="eastAsia" w:ascii="宋体" w:hAnsi="宋体" w:cs="宋体"/>
                <w:color w:val="auto"/>
                <w:sz w:val="21"/>
                <w:szCs w:val="21"/>
                <w:highlight w:val="none"/>
                <w:lang w:val="en-US" w:eastAsia="zh-CN"/>
              </w:rPr>
              <w:t>操作</w:t>
            </w:r>
            <w:r>
              <w:rPr>
                <w:rFonts w:hint="eastAsia" w:ascii="宋体" w:hAnsi="宋体" w:eastAsia="宋体" w:cs="宋体"/>
                <w:color w:val="auto"/>
                <w:sz w:val="21"/>
                <w:szCs w:val="21"/>
                <w:highlight w:val="none"/>
              </w:rPr>
              <w:t>人员工作情况进行检查，发现不合规要及时纠正并按公司管理体制进行处罚。</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(3)污水站运维操作人员，统一着装上岗，服从供应商及采购人的管理制度</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(4)供应商工作人员必须遵守医院的各项规章制度，服从采购人管理人员检查和监督。并且要保护好站内的一切公共设施、消防设施及保持站内及周边环境卫生，违者按采购人规定处罚。</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4.各点位人员配置满足下表要求</w:t>
            </w:r>
          </w:p>
          <w:tbl>
            <w:tblPr>
              <w:tblStyle w:val="47"/>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062"/>
              <w:gridCol w:w="1056"/>
              <w:gridCol w:w="2247"/>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36" w:type="dxa"/>
                  <w:shd w:val="clear" w:color="auto" w:fill="auto"/>
                  <w:noWrap/>
                  <w:vAlign w:val="bottom"/>
                </w:tcPr>
                <w:p>
                  <w:pPr>
                    <w:widowControl/>
                    <w:spacing w:line="240" w:lineRule="auto"/>
                    <w:jc w:val="left"/>
                    <w:rPr>
                      <w:rFonts w:ascii="宋体" w:hAnsi="宋体" w:eastAsia="宋体" w:cstheme="minorEastAsia"/>
                      <w:b/>
                      <w:bCs/>
                      <w:color w:val="auto"/>
                      <w:kern w:val="0"/>
                      <w:sz w:val="21"/>
                      <w:szCs w:val="21"/>
                      <w:highlight w:val="none"/>
                    </w:rPr>
                  </w:pPr>
                  <w:r>
                    <w:rPr>
                      <w:rFonts w:hint="eastAsia" w:ascii="宋体" w:hAnsi="宋体" w:eastAsia="宋体" w:cstheme="minorEastAsia"/>
                      <w:b/>
                      <w:bCs/>
                      <w:color w:val="auto"/>
                      <w:kern w:val="0"/>
                      <w:sz w:val="21"/>
                      <w:szCs w:val="21"/>
                      <w:highlight w:val="none"/>
                    </w:rPr>
                    <w:t>序号</w:t>
                  </w:r>
                </w:p>
              </w:tc>
              <w:tc>
                <w:tcPr>
                  <w:tcW w:w="2062" w:type="dxa"/>
                  <w:shd w:val="clear" w:color="auto" w:fill="auto"/>
                  <w:noWrap/>
                  <w:vAlign w:val="center"/>
                </w:tcPr>
                <w:p>
                  <w:pPr>
                    <w:widowControl/>
                    <w:spacing w:line="240" w:lineRule="auto"/>
                    <w:jc w:val="center"/>
                    <w:rPr>
                      <w:rFonts w:ascii="宋体" w:hAnsi="宋体" w:eastAsia="宋体" w:cstheme="minorEastAsia"/>
                      <w:b/>
                      <w:bCs/>
                      <w:color w:val="auto"/>
                      <w:kern w:val="0"/>
                      <w:sz w:val="21"/>
                      <w:szCs w:val="21"/>
                      <w:highlight w:val="none"/>
                    </w:rPr>
                  </w:pPr>
                  <w:r>
                    <w:rPr>
                      <w:rFonts w:hint="eastAsia" w:ascii="宋体" w:hAnsi="宋体" w:eastAsia="宋体" w:cstheme="minorEastAsia"/>
                      <w:b/>
                      <w:bCs/>
                      <w:color w:val="auto"/>
                      <w:kern w:val="0"/>
                      <w:sz w:val="21"/>
                      <w:szCs w:val="21"/>
                      <w:highlight w:val="none"/>
                    </w:rPr>
                    <w:t>服务点位</w:t>
                  </w:r>
                </w:p>
              </w:tc>
              <w:tc>
                <w:tcPr>
                  <w:tcW w:w="1056" w:type="dxa"/>
                  <w:shd w:val="clear" w:color="auto" w:fill="auto"/>
                  <w:noWrap/>
                  <w:vAlign w:val="bottom"/>
                </w:tcPr>
                <w:p>
                  <w:pPr>
                    <w:widowControl/>
                    <w:spacing w:line="240" w:lineRule="auto"/>
                    <w:jc w:val="center"/>
                    <w:rPr>
                      <w:rFonts w:ascii="宋体" w:hAnsi="宋体" w:eastAsia="宋体" w:cstheme="minorEastAsia"/>
                      <w:b/>
                      <w:bCs/>
                      <w:color w:val="auto"/>
                      <w:kern w:val="0"/>
                      <w:sz w:val="21"/>
                      <w:szCs w:val="21"/>
                      <w:highlight w:val="none"/>
                    </w:rPr>
                  </w:pPr>
                  <w:r>
                    <w:rPr>
                      <w:rFonts w:hint="eastAsia" w:ascii="宋体" w:hAnsi="宋体" w:eastAsia="宋体" w:cstheme="minorEastAsia"/>
                      <w:b/>
                      <w:bCs/>
                      <w:color w:val="auto"/>
                      <w:kern w:val="0"/>
                      <w:sz w:val="21"/>
                      <w:szCs w:val="21"/>
                      <w:highlight w:val="none"/>
                    </w:rPr>
                    <w:t>服务要求</w:t>
                  </w:r>
                </w:p>
              </w:tc>
              <w:tc>
                <w:tcPr>
                  <w:tcW w:w="2247" w:type="dxa"/>
                  <w:shd w:val="clear" w:color="auto" w:fill="auto"/>
                  <w:noWrap/>
                  <w:vAlign w:val="center"/>
                </w:tcPr>
                <w:p>
                  <w:pPr>
                    <w:widowControl/>
                    <w:spacing w:line="240" w:lineRule="auto"/>
                    <w:jc w:val="center"/>
                    <w:rPr>
                      <w:rFonts w:ascii="宋体" w:hAnsi="宋体" w:eastAsia="宋体" w:cstheme="minorEastAsia"/>
                      <w:b/>
                      <w:bCs/>
                      <w:color w:val="auto"/>
                      <w:kern w:val="0"/>
                      <w:sz w:val="21"/>
                      <w:szCs w:val="21"/>
                      <w:highlight w:val="none"/>
                    </w:rPr>
                  </w:pPr>
                  <w:r>
                    <w:rPr>
                      <w:rFonts w:hint="eastAsia" w:ascii="宋体" w:hAnsi="宋体" w:eastAsia="宋体" w:cstheme="minorEastAsia"/>
                      <w:b/>
                      <w:bCs/>
                      <w:color w:val="auto"/>
                      <w:kern w:val="0"/>
                      <w:sz w:val="21"/>
                      <w:szCs w:val="21"/>
                      <w:highlight w:val="none"/>
                    </w:rPr>
                    <w:t>人员配置要求</w:t>
                  </w:r>
                </w:p>
              </w:tc>
              <w:tc>
                <w:tcPr>
                  <w:tcW w:w="2292" w:type="dxa"/>
                  <w:shd w:val="clear" w:color="auto" w:fill="auto"/>
                  <w:noWrap/>
                  <w:vAlign w:val="center"/>
                </w:tcPr>
                <w:p>
                  <w:pPr>
                    <w:widowControl/>
                    <w:spacing w:line="240" w:lineRule="auto"/>
                    <w:jc w:val="center"/>
                    <w:rPr>
                      <w:rFonts w:ascii="宋体" w:hAnsi="宋体" w:eastAsia="宋体" w:cstheme="minorEastAsia"/>
                      <w:b/>
                      <w:bCs/>
                      <w:color w:val="auto"/>
                      <w:kern w:val="0"/>
                      <w:sz w:val="21"/>
                      <w:szCs w:val="21"/>
                      <w:highlight w:val="none"/>
                    </w:rPr>
                  </w:pPr>
                  <w:r>
                    <w:rPr>
                      <w:rFonts w:hint="eastAsia" w:ascii="宋体" w:hAnsi="宋体" w:eastAsia="宋体" w:cstheme="minorEastAsia"/>
                      <w:b/>
                      <w:bCs/>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trPr>
              <w:tc>
                <w:tcPr>
                  <w:tcW w:w="636" w:type="dxa"/>
                  <w:tcBorders>
                    <w:bottom w:val="single" w:color="auto" w:sz="4" w:space="0"/>
                  </w:tcBorders>
                  <w:shd w:val="clear" w:color="auto" w:fill="auto"/>
                  <w:noWrap/>
                  <w:vAlign w:val="center"/>
                </w:tcPr>
                <w:p>
                  <w:pPr>
                    <w:spacing w:line="240" w:lineRule="auto"/>
                    <w:jc w:val="left"/>
                    <w:rPr>
                      <w:rFonts w:ascii="宋体" w:hAnsi="宋体" w:eastAsia="宋体" w:cstheme="minorEastAsia"/>
                      <w:color w:val="auto"/>
                      <w:kern w:val="0"/>
                      <w:sz w:val="21"/>
                      <w:szCs w:val="21"/>
                      <w:highlight w:val="none"/>
                    </w:rPr>
                  </w:pPr>
                  <w:r>
                    <w:rPr>
                      <w:rFonts w:hint="eastAsia" w:ascii="宋体" w:hAnsi="宋体" w:eastAsia="宋体" w:cstheme="minorEastAsia"/>
                      <w:color w:val="auto"/>
                      <w:kern w:val="0"/>
                      <w:sz w:val="21"/>
                      <w:szCs w:val="21"/>
                      <w:highlight w:val="none"/>
                    </w:rPr>
                    <w:t>1</w:t>
                  </w:r>
                </w:p>
              </w:tc>
              <w:tc>
                <w:tcPr>
                  <w:tcW w:w="2062" w:type="dxa"/>
                  <w:tcBorders>
                    <w:bottom w:val="single" w:color="auto" w:sz="4" w:space="0"/>
                  </w:tcBorders>
                  <w:shd w:val="clear" w:color="auto" w:fill="auto"/>
                  <w:vAlign w:val="center"/>
                </w:tcPr>
                <w:p>
                  <w:pPr>
                    <w:spacing w:line="240" w:lineRule="auto"/>
                    <w:jc w:val="left"/>
                    <w:rPr>
                      <w:rFonts w:ascii="宋体" w:hAnsi="宋体" w:eastAsia="宋体" w:cstheme="minorEastAsia"/>
                      <w:color w:val="auto"/>
                      <w:kern w:val="0"/>
                      <w:sz w:val="21"/>
                      <w:szCs w:val="21"/>
                      <w:highlight w:val="none"/>
                    </w:rPr>
                  </w:pPr>
                  <w:r>
                    <w:rPr>
                      <w:rFonts w:hint="eastAsia" w:ascii="宋体" w:hAnsi="宋体" w:eastAsia="宋体" w:cstheme="minorEastAsia"/>
                      <w:color w:val="auto"/>
                      <w:kern w:val="0"/>
                      <w:sz w:val="21"/>
                      <w:szCs w:val="21"/>
                      <w:highlight w:val="none"/>
                    </w:rPr>
                    <w:t>高县人民医院污水处理站（新</w:t>
                  </w:r>
                  <w:r>
                    <w:rPr>
                      <w:rFonts w:hint="eastAsia" w:ascii="宋体" w:hAnsi="宋体" w:cstheme="minorEastAsia"/>
                      <w:color w:val="auto"/>
                      <w:kern w:val="0"/>
                      <w:sz w:val="21"/>
                      <w:szCs w:val="21"/>
                      <w:highlight w:val="none"/>
                      <w:lang w:eastAsia="zh-CN"/>
                    </w:rPr>
                    <w:t>、</w:t>
                  </w:r>
                  <w:r>
                    <w:rPr>
                      <w:rFonts w:hint="eastAsia" w:ascii="宋体" w:hAnsi="宋体" w:eastAsia="宋体" w:cstheme="minorEastAsia"/>
                      <w:color w:val="auto"/>
                      <w:kern w:val="0"/>
                      <w:sz w:val="21"/>
                      <w:szCs w:val="21"/>
                      <w:highlight w:val="none"/>
                    </w:rPr>
                    <w:t>老污水站2个站点）</w:t>
                  </w:r>
                </w:p>
              </w:tc>
              <w:tc>
                <w:tcPr>
                  <w:tcW w:w="1056" w:type="dxa"/>
                  <w:tcBorders>
                    <w:bottom w:val="single" w:color="auto" w:sz="4" w:space="0"/>
                  </w:tcBorders>
                  <w:shd w:val="clear" w:color="auto" w:fill="auto"/>
                  <w:vAlign w:val="center"/>
                </w:tcPr>
                <w:p>
                  <w:pPr>
                    <w:widowControl/>
                    <w:spacing w:line="240" w:lineRule="auto"/>
                    <w:jc w:val="left"/>
                    <w:rPr>
                      <w:rFonts w:ascii="宋体" w:hAnsi="宋体" w:eastAsia="宋体" w:cstheme="minorEastAsia"/>
                      <w:color w:val="auto"/>
                      <w:kern w:val="0"/>
                      <w:sz w:val="21"/>
                      <w:szCs w:val="21"/>
                      <w:highlight w:val="none"/>
                    </w:rPr>
                  </w:pPr>
                  <w:r>
                    <w:rPr>
                      <w:rFonts w:hint="eastAsia" w:ascii="宋体" w:hAnsi="宋体" w:eastAsia="宋体" w:cstheme="minorEastAsia"/>
                      <w:color w:val="auto"/>
                      <w:kern w:val="0"/>
                      <w:sz w:val="21"/>
                      <w:szCs w:val="21"/>
                      <w:highlight w:val="none"/>
                    </w:rPr>
                    <w:t>解决污水处理站在运行管理期间出现的所有问题，保证污水处理站正常运行。</w:t>
                  </w:r>
                </w:p>
              </w:tc>
              <w:tc>
                <w:tcPr>
                  <w:tcW w:w="2247" w:type="dxa"/>
                  <w:shd w:val="clear" w:color="auto" w:fill="auto"/>
                  <w:vAlign w:val="center"/>
                </w:tcPr>
                <w:p>
                  <w:pPr>
                    <w:widowControl/>
                    <w:spacing w:line="240" w:lineRule="auto"/>
                    <w:jc w:val="left"/>
                    <w:rPr>
                      <w:rFonts w:ascii="宋体" w:hAnsi="宋体" w:eastAsia="宋体" w:cstheme="minorEastAsia"/>
                      <w:color w:val="auto"/>
                      <w:kern w:val="0"/>
                      <w:sz w:val="21"/>
                      <w:szCs w:val="21"/>
                      <w:highlight w:val="none"/>
                    </w:rPr>
                  </w:pPr>
                  <w:r>
                    <w:rPr>
                      <w:rFonts w:hint="eastAsia" w:ascii="宋体" w:hAnsi="宋体" w:cstheme="minorEastAsia"/>
                      <w:color w:val="auto"/>
                      <w:kern w:val="0"/>
                      <w:sz w:val="21"/>
                      <w:szCs w:val="21"/>
                      <w:highlight w:val="none"/>
                      <w:lang w:val="en-US" w:eastAsia="zh-CN"/>
                    </w:rPr>
                    <w:t>7</w:t>
                  </w:r>
                  <w:r>
                    <w:rPr>
                      <w:rFonts w:hint="eastAsia" w:ascii="宋体" w:hAnsi="宋体" w:eastAsia="宋体" w:cstheme="minorEastAsia"/>
                      <w:color w:val="auto"/>
                      <w:kern w:val="0"/>
                      <w:sz w:val="21"/>
                      <w:szCs w:val="21"/>
                      <w:highlight w:val="none"/>
                    </w:rPr>
                    <w:t>名及以上专职人员</w:t>
                  </w:r>
                </w:p>
                <w:p>
                  <w:pPr>
                    <w:spacing w:line="240" w:lineRule="auto"/>
                    <w:jc w:val="left"/>
                    <w:rPr>
                      <w:rFonts w:ascii="宋体" w:hAnsi="宋体" w:eastAsia="宋体" w:cstheme="minorEastAsia"/>
                      <w:color w:val="auto"/>
                      <w:kern w:val="0"/>
                      <w:sz w:val="21"/>
                      <w:szCs w:val="21"/>
                      <w:highlight w:val="none"/>
                    </w:rPr>
                  </w:pPr>
                </w:p>
              </w:tc>
              <w:tc>
                <w:tcPr>
                  <w:tcW w:w="2292" w:type="dxa"/>
                  <w:tcBorders>
                    <w:bottom w:val="single" w:color="auto" w:sz="4" w:space="0"/>
                  </w:tcBorders>
                  <w:shd w:val="clear" w:color="auto" w:fill="auto"/>
                  <w:vAlign w:val="center"/>
                </w:tcPr>
                <w:p>
                  <w:pPr>
                    <w:widowControl/>
                    <w:spacing w:line="240" w:lineRule="auto"/>
                    <w:jc w:val="left"/>
                    <w:rPr>
                      <w:rFonts w:ascii="宋体" w:hAnsi="宋体" w:eastAsia="宋体" w:cstheme="minorEastAsia"/>
                      <w:color w:val="auto"/>
                      <w:kern w:val="0"/>
                      <w:sz w:val="21"/>
                      <w:szCs w:val="21"/>
                      <w:highlight w:val="none"/>
                    </w:rPr>
                  </w:pPr>
                  <w:r>
                    <w:rPr>
                      <w:rFonts w:hint="eastAsia" w:ascii="宋体" w:hAnsi="宋体" w:eastAsia="宋体" w:cstheme="minorEastAsia"/>
                      <w:color w:val="auto"/>
                      <w:kern w:val="0"/>
                      <w:sz w:val="21"/>
                      <w:szCs w:val="21"/>
                      <w:highlight w:val="none"/>
                    </w:rPr>
                    <w:t>1.驻场操作人员不少于1名(该人员为站点固定服务人员，所有站点要求365天均有人员在岗，不包含其他技术指导等)。</w:t>
                  </w:r>
                  <w:r>
                    <w:rPr>
                      <w:rFonts w:hint="eastAsia" w:ascii="宋体" w:hAnsi="宋体" w:eastAsia="宋体" w:cstheme="minorEastAsia"/>
                      <w:color w:val="auto"/>
                      <w:kern w:val="0"/>
                      <w:sz w:val="21"/>
                      <w:szCs w:val="21"/>
                      <w:highlight w:val="none"/>
                    </w:rPr>
                    <w:br w:type="textWrapping"/>
                  </w:r>
                  <w:r>
                    <w:rPr>
                      <w:rFonts w:hint="eastAsia" w:ascii="宋体" w:hAnsi="宋体" w:eastAsia="宋体" w:cstheme="minorEastAsia"/>
                      <w:color w:val="auto"/>
                      <w:kern w:val="0"/>
                      <w:sz w:val="21"/>
                      <w:szCs w:val="21"/>
                      <w:highlight w:val="none"/>
                    </w:rPr>
                    <w:t>2.如出现影响污水处理站正常运行的维修问题需指派2名及以上的技术人员到现场进行处理。供应商在接到报修电话后2小时内赶到现场，并在采购人规定时间内处理完成</w:t>
                  </w:r>
                  <w:r>
                    <w:rPr>
                      <w:rFonts w:hint="eastAsia" w:ascii="宋体" w:hAnsi="宋体" w:cstheme="minorEastAsia"/>
                      <w:color w:val="auto"/>
                      <w:kern w:val="0"/>
                      <w:sz w:val="21"/>
                      <w:szCs w:val="21"/>
                      <w:highlight w:val="none"/>
                      <w:lang w:eastAsia="zh-CN"/>
                    </w:rPr>
                    <w:t>（</w:t>
                  </w:r>
                  <w:r>
                    <w:rPr>
                      <w:rFonts w:hint="eastAsia" w:ascii="宋体" w:hAnsi="宋体" w:cstheme="minorEastAsia"/>
                      <w:color w:val="auto"/>
                      <w:kern w:val="0"/>
                      <w:sz w:val="21"/>
                      <w:szCs w:val="21"/>
                      <w:highlight w:val="none"/>
                      <w:lang w:val="en-US" w:eastAsia="zh-CN"/>
                    </w:rPr>
                    <w:t>书面记录处理情况并签名</w:t>
                  </w:r>
                  <w:r>
                    <w:rPr>
                      <w:rFonts w:hint="eastAsia" w:ascii="宋体" w:hAnsi="宋体" w:cstheme="minorEastAsia"/>
                      <w:color w:val="auto"/>
                      <w:kern w:val="0"/>
                      <w:sz w:val="21"/>
                      <w:szCs w:val="21"/>
                      <w:highlight w:val="none"/>
                      <w:lang w:eastAsia="zh-CN"/>
                    </w:rPr>
                    <w:t>）</w:t>
                  </w:r>
                  <w:r>
                    <w:rPr>
                      <w:rFonts w:hint="eastAsia" w:ascii="宋体" w:hAnsi="宋体" w:eastAsia="宋体" w:cstheme="minorEastAsia"/>
                      <w:color w:val="auto"/>
                      <w:kern w:val="0"/>
                      <w:sz w:val="21"/>
                      <w:szCs w:val="21"/>
                      <w:highlight w:val="none"/>
                    </w:rPr>
                    <w:t>，如未按时完成造成采购人受到环保相关部门处罚的，一切损失由供应商全部承担。</w:t>
                  </w:r>
                </w:p>
              </w:tc>
            </w:tr>
          </w:tbl>
          <w:p>
            <w:pPr>
              <w:spacing w:line="240" w:lineRule="auto"/>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具体服务内容及要求</w:t>
            </w:r>
          </w:p>
          <w:p>
            <w:pPr>
              <w:spacing w:line="240" w:lineRule="auto"/>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1.耗材提供</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(1)活性炭提供</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供应商负责全院各污水处理站内废气治理所需活性炭供应，费用由供应商全部承担，确保站内废气治理设施设备正常运行。</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(2)自行监测设备各类药剂</w:t>
            </w:r>
          </w:p>
          <w:p>
            <w:pPr>
              <w:spacing w:line="240" w:lineRule="auto"/>
              <w:ind w:firstLine="56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供应商负责全院各污水处理站内自行监测设备所需所有试剂供应，费用由供应商全部承担，确保站内各类自行监测设施设备正常运行。</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(3)其他辅材供应及预估用量</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承担污水处理站运行工作中所需的所有辅助耗材供应，包括但不限于消毒所需消毒剂、在线数据传输网卡、水质日常检测或监测所需试剂、工艺清洗维护所需药剂(包括但不限于PAC、PAM、清洗药剂等)、站内工作人员各类劳保用品及防护用具等，由此产生的耗材费用由供应商全部承担，提供耗材需满足国家行业标准及产品质量标准，采购人有权对使用产品进行抽查。</w:t>
            </w:r>
          </w:p>
          <w:p>
            <w:pPr>
              <w:pStyle w:val="114"/>
              <w:numPr>
                <w:ilvl w:val="0"/>
                <w:numId w:val="0"/>
              </w:numPr>
              <w:spacing w:line="240" w:lineRule="auto"/>
              <w:ind w:leftChars="0"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单过硫酸氢钾消毒粉：8</w:t>
            </w:r>
            <w:r>
              <w:rPr>
                <w:rFonts w:ascii="宋体" w:hAnsi="宋体" w:eastAsia="宋体" w:cs="宋体"/>
                <w:color w:val="auto"/>
                <w:sz w:val="21"/>
                <w:szCs w:val="21"/>
                <w:highlight w:val="none"/>
              </w:rPr>
              <w:t>吨/年</w:t>
            </w:r>
            <w:r>
              <w:rPr>
                <w:rFonts w:hint="eastAsia" w:ascii="宋体" w:hAnsi="宋体" w:eastAsia="宋体" w:cs="宋体"/>
                <w:color w:val="auto"/>
                <w:sz w:val="21"/>
                <w:szCs w:val="21"/>
                <w:highlight w:val="none"/>
              </w:rPr>
              <w:t>（两个污水站）；</w:t>
            </w:r>
            <w:r>
              <w:rPr>
                <w:rFonts w:ascii="宋体" w:hAnsi="宋体" w:eastAsia="宋体" w:cs="宋体"/>
                <w:color w:val="auto"/>
                <w:sz w:val="21"/>
                <w:szCs w:val="21"/>
                <w:highlight w:val="none"/>
              </w:rPr>
              <w:t>按医院每天水量进行预估用量</w:t>
            </w:r>
            <w:r>
              <w:rPr>
                <w:rFonts w:hint="eastAsia" w:ascii="宋体" w:hAnsi="宋体" w:eastAsia="宋体" w:cs="宋体"/>
                <w:color w:val="auto"/>
                <w:sz w:val="21"/>
                <w:szCs w:val="21"/>
                <w:highlight w:val="none"/>
              </w:rPr>
              <w:t>。加药设备</w:t>
            </w:r>
            <w:r>
              <w:rPr>
                <w:rFonts w:hint="eastAsia" w:ascii="宋体" w:hAnsi="宋体" w:cs="宋体"/>
                <w:color w:val="auto"/>
                <w:sz w:val="21"/>
                <w:szCs w:val="21"/>
                <w:highlight w:val="none"/>
                <w:lang w:val="en-US" w:eastAsia="zh-CN"/>
              </w:rPr>
              <w:t>由</w:t>
            </w:r>
            <w:r>
              <w:rPr>
                <w:rFonts w:hint="eastAsia" w:ascii="宋体" w:hAnsi="宋体" w:eastAsia="宋体" w:cs="宋体"/>
                <w:color w:val="auto"/>
                <w:sz w:val="21"/>
                <w:szCs w:val="21"/>
                <w:highlight w:val="none"/>
              </w:rPr>
              <w:t>供应商提供。</w:t>
            </w:r>
          </w:p>
          <w:p>
            <w:pPr>
              <w:spacing w:line="240" w:lineRule="auto"/>
              <w:ind w:firstLine="422" w:firstLineChars="200"/>
              <w:jc w:val="left"/>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t>.设施设备维修及维护</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(1)包括但不限于对委托运维污水处理站内所有设施设备做以下维修及维护等相关工作</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设备清单</w:t>
            </w:r>
          </w:p>
          <w:p>
            <w:pPr>
              <w:pStyle w:val="46"/>
              <w:tabs>
                <w:tab w:val="left" w:pos="0"/>
              </w:tabs>
              <w:spacing w:line="240" w:lineRule="auto"/>
              <w:ind w:firstLine="3795" w:firstLineChars="1800"/>
              <w:jc w:val="left"/>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老污水处理站</w:t>
            </w:r>
          </w:p>
          <w:tbl>
            <w:tblPr>
              <w:tblStyle w:val="48"/>
              <w:tblpPr w:leftFromText="180" w:rightFromText="180" w:vertAnchor="text" w:horzAnchor="margin" w:tblpX="250" w:tblpY="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665"/>
              <w:gridCol w:w="1665"/>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序号</w:t>
                  </w:r>
                </w:p>
              </w:tc>
              <w:tc>
                <w:tcPr>
                  <w:tcW w:w="3665"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设备名称</w:t>
                  </w:r>
                </w:p>
              </w:tc>
              <w:tc>
                <w:tcPr>
                  <w:tcW w:w="1665"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数量</w:t>
                  </w:r>
                </w:p>
              </w:tc>
              <w:tc>
                <w:tcPr>
                  <w:tcW w:w="1311"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w:t>
                  </w:r>
                </w:p>
              </w:tc>
              <w:tc>
                <w:tcPr>
                  <w:tcW w:w="3665"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罗茨风机</w:t>
                  </w:r>
                </w:p>
              </w:tc>
              <w:tc>
                <w:tcPr>
                  <w:tcW w:w="1665"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2台</w:t>
                  </w:r>
                </w:p>
              </w:tc>
              <w:tc>
                <w:tcPr>
                  <w:tcW w:w="1311" w:type="dxa"/>
                  <w:vAlign w:val="center"/>
                </w:tcPr>
                <w:p>
                  <w:pPr>
                    <w:spacing w:line="240" w:lineRule="auto"/>
                    <w:jc w:val="left"/>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w:t>
                  </w:r>
                </w:p>
              </w:tc>
              <w:tc>
                <w:tcPr>
                  <w:tcW w:w="3665"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提升泵</w:t>
                  </w:r>
                </w:p>
              </w:tc>
              <w:tc>
                <w:tcPr>
                  <w:tcW w:w="1665"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2台</w:t>
                  </w:r>
                </w:p>
              </w:tc>
              <w:tc>
                <w:tcPr>
                  <w:tcW w:w="1311" w:type="dxa"/>
                  <w:vAlign w:val="center"/>
                </w:tcPr>
                <w:p>
                  <w:pPr>
                    <w:spacing w:line="240" w:lineRule="auto"/>
                    <w:jc w:val="left"/>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p>
              </w:tc>
              <w:tc>
                <w:tcPr>
                  <w:tcW w:w="3665"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cs="Times New Roman"/>
                      <w:color w:val="auto"/>
                      <w:kern w:val="0"/>
                      <w:sz w:val="21"/>
                      <w:szCs w:val="21"/>
                      <w:highlight w:val="none"/>
                      <w:lang w:val="en-US" w:eastAsia="zh-CN"/>
                    </w:rPr>
                    <w:t>潜污</w:t>
                  </w:r>
                  <w:r>
                    <w:rPr>
                      <w:rFonts w:hint="eastAsia" w:ascii="宋体" w:hAnsi="宋体" w:eastAsia="宋体" w:cs="Times New Roman"/>
                      <w:color w:val="auto"/>
                      <w:kern w:val="0"/>
                      <w:sz w:val="21"/>
                      <w:szCs w:val="21"/>
                      <w:highlight w:val="none"/>
                    </w:rPr>
                    <w:t>泵</w:t>
                  </w:r>
                </w:p>
              </w:tc>
              <w:tc>
                <w:tcPr>
                  <w:tcW w:w="1665"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cs="Times New Roman"/>
                      <w:color w:val="auto"/>
                      <w:kern w:val="0"/>
                      <w:sz w:val="21"/>
                      <w:szCs w:val="21"/>
                      <w:highlight w:val="none"/>
                      <w:lang w:val="en-US" w:eastAsia="zh-CN"/>
                    </w:rPr>
                    <w:t>4</w:t>
                  </w:r>
                  <w:r>
                    <w:rPr>
                      <w:rFonts w:hint="eastAsia" w:ascii="宋体" w:hAnsi="宋体" w:eastAsia="宋体" w:cs="Times New Roman"/>
                      <w:color w:val="auto"/>
                      <w:kern w:val="0"/>
                      <w:sz w:val="21"/>
                      <w:szCs w:val="21"/>
                      <w:highlight w:val="none"/>
                    </w:rPr>
                    <w:t>台</w:t>
                  </w:r>
                </w:p>
              </w:tc>
              <w:tc>
                <w:tcPr>
                  <w:tcW w:w="1311" w:type="dxa"/>
                  <w:vAlign w:val="center"/>
                </w:tcPr>
                <w:p>
                  <w:pPr>
                    <w:spacing w:line="240" w:lineRule="auto"/>
                    <w:jc w:val="left"/>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w:t>
                  </w:r>
                </w:p>
              </w:tc>
              <w:tc>
                <w:tcPr>
                  <w:tcW w:w="3665"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数采仪</w:t>
                  </w:r>
                </w:p>
              </w:tc>
              <w:tc>
                <w:tcPr>
                  <w:tcW w:w="1665"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1台</w:t>
                  </w:r>
                </w:p>
              </w:tc>
              <w:tc>
                <w:tcPr>
                  <w:tcW w:w="1311" w:type="dxa"/>
                  <w:vAlign w:val="center"/>
                </w:tcPr>
                <w:p>
                  <w:pPr>
                    <w:spacing w:line="240" w:lineRule="auto"/>
                    <w:jc w:val="left"/>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5</w:t>
                  </w:r>
                </w:p>
              </w:tc>
              <w:tc>
                <w:tcPr>
                  <w:tcW w:w="3665"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流量计</w:t>
                  </w:r>
                </w:p>
              </w:tc>
              <w:tc>
                <w:tcPr>
                  <w:tcW w:w="1665"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1台</w:t>
                  </w:r>
                </w:p>
              </w:tc>
              <w:tc>
                <w:tcPr>
                  <w:tcW w:w="1311" w:type="dxa"/>
                  <w:vAlign w:val="center"/>
                </w:tcPr>
                <w:p>
                  <w:pPr>
                    <w:spacing w:line="240" w:lineRule="auto"/>
                    <w:jc w:val="left"/>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6</w:t>
                  </w:r>
                </w:p>
              </w:tc>
              <w:tc>
                <w:tcPr>
                  <w:tcW w:w="3665" w:type="dxa"/>
                  <w:shd w:val="clear" w:color="auto" w:fill="auto"/>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余氯在线监测仪</w:t>
                  </w:r>
                </w:p>
              </w:tc>
              <w:tc>
                <w:tcPr>
                  <w:tcW w:w="1665" w:type="dxa"/>
                  <w:vAlign w:val="center"/>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1台</w:t>
                  </w:r>
                </w:p>
              </w:tc>
              <w:tc>
                <w:tcPr>
                  <w:tcW w:w="1311" w:type="dxa"/>
                  <w:vAlign w:val="center"/>
                </w:tcPr>
                <w:p>
                  <w:pPr>
                    <w:spacing w:line="240" w:lineRule="auto"/>
                    <w:jc w:val="left"/>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Align w:val="center"/>
                </w:tcPr>
                <w:p>
                  <w:pPr>
                    <w:spacing w:line="240" w:lineRule="auto"/>
                    <w:jc w:val="left"/>
                    <w:rPr>
                      <w:rFonts w:hint="eastAsia" w:ascii="宋体" w:hAnsi="宋体" w:eastAsia="宋体" w:cs="Times New Roman"/>
                      <w:color w:val="auto"/>
                      <w:kern w:val="0"/>
                      <w:sz w:val="21"/>
                      <w:szCs w:val="21"/>
                      <w:highlight w:val="none"/>
                      <w:lang w:eastAsia="zh-CN"/>
                    </w:rPr>
                  </w:pPr>
                  <w:r>
                    <w:rPr>
                      <w:rFonts w:hint="eastAsia" w:ascii="宋体" w:hAnsi="宋体" w:cs="Times New Roman"/>
                      <w:color w:val="auto"/>
                      <w:kern w:val="0"/>
                      <w:sz w:val="21"/>
                      <w:szCs w:val="21"/>
                      <w:highlight w:val="none"/>
                      <w:lang w:val="en-US" w:eastAsia="zh-CN"/>
                    </w:rPr>
                    <w:t>7</w:t>
                  </w:r>
                </w:p>
              </w:tc>
              <w:tc>
                <w:tcPr>
                  <w:tcW w:w="3665" w:type="dxa"/>
                  <w:shd w:val="clear" w:color="auto" w:fill="auto"/>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悬浮物测定仪</w:t>
                  </w:r>
                </w:p>
              </w:tc>
              <w:tc>
                <w:tcPr>
                  <w:tcW w:w="1665"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1台</w:t>
                  </w:r>
                </w:p>
              </w:tc>
              <w:tc>
                <w:tcPr>
                  <w:tcW w:w="1311" w:type="dxa"/>
                  <w:vAlign w:val="center"/>
                </w:tcPr>
                <w:p>
                  <w:pPr>
                    <w:spacing w:line="240" w:lineRule="auto"/>
                    <w:jc w:val="left"/>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Align w:val="center"/>
                </w:tcPr>
                <w:p>
                  <w:pPr>
                    <w:spacing w:line="240" w:lineRule="auto"/>
                    <w:jc w:val="left"/>
                    <w:rPr>
                      <w:rFonts w:hint="eastAsia" w:ascii="宋体" w:hAnsi="宋体" w:eastAsia="宋体" w:cs="Times New Roman"/>
                      <w:color w:val="auto"/>
                      <w:kern w:val="0"/>
                      <w:sz w:val="21"/>
                      <w:szCs w:val="21"/>
                      <w:highlight w:val="none"/>
                      <w:lang w:eastAsia="zh-CN"/>
                    </w:rPr>
                  </w:pPr>
                  <w:r>
                    <w:rPr>
                      <w:rFonts w:hint="eastAsia" w:ascii="宋体" w:hAnsi="宋体" w:cs="Times New Roman"/>
                      <w:color w:val="auto"/>
                      <w:kern w:val="0"/>
                      <w:sz w:val="21"/>
                      <w:szCs w:val="21"/>
                      <w:highlight w:val="none"/>
                      <w:lang w:val="en-US" w:eastAsia="zh-CN"/>
                    </w:rPr>
                    <w:t>8</w:t>
                  </w:r>
                </w:p>
              </w:tc>
              <w:tc>
                <w:tcPr>
                  <w:tcW w:w="3665" w:type="dxa"/>
                  <w:shd w:val="clear" w:color="auto" w:fill="auto"/>
                  <w:vAlign w:val="center"/>
                </w:tcPr>
                <w:p>
                  <w:pPr>
                    <w:spacing w:line="240" w:lineRule="auto"/>
                    <w:jc w:val="left"/>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PH检测仪</w:t>
                  </w:r>
                </w:p>
              </w:tc>
              <w:tc>
                <w:tcPr>
                  <w:tcW w:w="1665"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1台</w:t>
                  </w:r>
                </w:p>
              </w:tc>
              <w:tc>
                <w:tcPr>
                  <w:tcW w:w="1311" w:type="dxa"/>
                  <w:vAlign w:val="center"/>
                </w:tcPr>
                <w:p>
                  <w:pPr>
                    <w:spacing w:line="240" w:lineRule="auto"/>
                    <w:jc w:val="left"/>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Align w:val="center"/>
                </w:tcPr>
                <w:p>
                  <w:pPr>
                    <w:spacing w:line="240" w:lineRule="auto"/>
                    <w:jc w:val="left"/>
                    <w:rPr>
                      <w:rFonts w:hint="eastAsia" w:ascii="宋体" w:hAnsi="宋体" w:eastAsia="宋体" w:cs="Times New Roman"/>
                      <w:color w:val="auto"/>
                      <w:kern w:val="0"/>
                      <w:sz w:val="21"/>
                      <w:szCs w:val="21"/>
                      <w:highlight w:val="none"/>
                      <w:lang w:eastAsia="zh-CN"/>
                    </w:rPr>
                  </w:pPr>
                  <w:r>
                    <w:rPr>
                      <w:rFonts w:hint="eastAsia" w:ascii="宋体" w:hAnsi="宋体" w:cs="Times New Roman"/>
                      <w:color w:val="auto"/>
                      <w:kern w:val="0"/>
                      <w:sz w:val="21"/>
                      <w:szCs w:val="21"/>
                      <w:highlight w:val="none"/>
                      <w:lang w:val="en-US" w:eastAsia="zh-CN"/>
                    </w:rPr>
                    <w:t>9</w:t>
                  </w:r>
                </w:p>
              </w:tc>
              <w:tc>
                <w:tcPr>
                  <w:tcW w:w="3665"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次氯酸钠消毒设备</w:t>
                  </w:r>
                </w:p>
              </w:tc>
              <w:tc>
                <w:tcPr>
                  <w:tcW w:w="1665" w:type="dxa"/>
                  <w:vAlign w:val="center"/>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1台</w:t>
                  </w:r>
                </w:p>
              </w:tc>
              <w:tc>
                <w:tcPr>
                  <w:tcW w:w="1311" w:type="dxa"/>
                  <w:vAlign w:val="center"/>
                </w:tcPr>
                <w:p>
                  <w:pPr>
                    <w:spacing w:line="240" w:lineRule="auto"/>
                    <w:jc w:val="left"/>
                    <w:rPr>
                      <w:rFonts w:hint="eastAsia" w:ascii="宋体" w:hAnsi="宋体" w:eastAsia="宋体" w:cs="Times New Roman"/>
                      <w:color w:val="auto"/>
                      <w:kern w:val="0"/>
                      <w:sz w:val="21"/>
                      <w:szCs w:val="21"/>
                      <w:highlight w:val="none"/>
                    </w:rPr>
                  </w:pPr>
                </w:p>
              </w:tc>
            </w:tr>
          </w:tbl>
          <w:p>
            <w:pPr>
              <w:pStyle w:val="46"/>
              <w:tabs>
                <w:tab w:val="left" w:pos="0"/>
              </w:tabs>
              <w:spacing w:line="240" w:lineRule="auto"/>
              <w:ind w:firstLine="240"/>
              <w:jc w:val="left"/>
              <w:rPr>
                <w:rFonts w:hint="eastAsia" w:ascii="宋体" w:hAnsi="宋体" w:eastAsia="宋体"/>
                <w:color w:val="auto"/>
                <w:sz w:val="21"/>
                <w:szCs w:val="21"/>
                <w:highlight w:val="none"/>
              </w:rPr>
            </w:pPr>
          </w:p>
          <w:p>
            <w:pPr>
              <w:pStyle w:val="46"/>
              <w:tabs>
                <w:tab w:val="left" w:pos="0"/>
              </w:tabs>
              <w:spacing w:line="240" w:lineRule="auto"/>
              <w:ind w:left="0" w:leftChars="0" w:firstLine="3162" w:firstLineChars="1500"/>
              <w:jc w:val="left"/>
              <w:rPr>
                <w:rFonts w:hint="default" w:ascii="宋体" w:hAnsi="宋体" w:eastAsia="宋体"/>
                <w:b/>
                <w:bCs/>
                <w:color w:val="auto"/>
                <w:sz w:val="21"/>
                <w:szCs w:val="21"/>
                <w:highlight w:val="none"/>
                <w:lang w:val="en-US" w:eastAsia="zh-CN"/>
              </w:rPr>
            </w:pPr>
            <w:r>
              <w:rPr>
                <w:rFonts w:hint="eastAsia" w:ascii="宋体" w:hAnsi="宋体"/>
                <w:b/>
                <w:bCs/>
                <w:color w:val="auto"/>
                <w:sz w:val="21"/>
                <w:szCs w:val="21"/>
                <w:highlight w:val="none"/>
              </w:rPr>
              <w:t>新</w:t>
            </w:r>
            <w:r>
              <w:rPr>
                <w:rFonts w:hint="eastAsia" w:ascii="宋体" w:hAnsi="宋体"/>
                <w:b/>
                <w:bCs/>
                <w:color w:val="auto"/>
                <w:sz w:val="21"/>
                <w:szCs w:val="21"/>
                <w:highlight w:val="none"/>
                <w:lang w:val="en-US" w:eastAsia="zh-CN"/>
              </w:rPr>
              <w:t>污水处理站</w:t>
            </w:r>
          </w:p>
          <w:tbl>
            <w:tblPr>
              <w:tblStyle w:val="48"/>
              <w:tblpPr w:leftFromText="180" w:rightFromText="180" w:vertAnchor="text" w:horzAnchor="margin" w:tblpX="250" w:tblpY="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665"/>
              <w:gridCol w:w="1665"/>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序号</w:t>
                  </w:r>
                </w:p>
              </w:tc>
              <w:tc>
                <w:tcPr>
                  <w:tcW w:w="3665" w:type="dxa"/>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设备名称</w:t>
                  </w:r>
                </w:p>
              </w:tc>
              <w:tc>
                <w:tcPr>
                  <w:tcW w:w="1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数量</w:t>
                  </w:r>
                </w:p>
              </w:tc>
              <w:tc>
                <w:tcPr>
                  <w:tcW w:w="1311"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w:t>
                  </w:r>
                </w:p>
              </w:tc>
              <w:tc>
                <w:tcPr>
                  <w:tcW w:w="3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地埋式一体化设备</w:t>
                  </w:r>
                </w:p>
              </w:tc>
              <w:tc>
                <w:tcPr>
                  <w:tcW w:w="1665" w:type="dxa"/>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1套</w:t>
                  </w:r>
                </w:p>
              </w:tc>
              <w:tc>
                <w:tcPr>
                  <w:tcW w:w="1311" w:type="dxa"/>
                </w:tcPr>
                <w:p>
                  <w:pPr>
                    <w:spacing w:line="240" w:lineRule="auto"/>
                    <w:jc w:val="left"/>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Pr>
                <w:p>
                  <w:pPr>
                    <w:spacing w:line="240" w:lineRule="auto"/>
                    <w:jc w:val="left"/>
                    <w:rPr>
                      <w:rFonts w:hint="eastAsia" w:ascii="宋体" w:hAnsi="宋体" w:eastAsia="宋体" w:cs="Times New Roman"/>
                      <w:color w:val="auto"/>
                      <w:kern w:val="0"/>
                      <w:sz w:val="21"/>
                      <w:szCs w:val="21"/>
                      <w:highlight w:val="none"/>
                      <w:lang w:eastAsia="zh-CN"/>
                    </w:rPr>
                  </w:pPr>
                  <w:r>
                    <w:rPr>
                      <w:rFonts w:hint="eastAsia" w:ascii="宋体" w:hAnsi="宋体" w:cs="Times New Roman"/>
                      <w:color w:val="auto"/>
                      <w:kern w:val="0"/>
                      <w:sz w:val="21"/>
                      <w:szCs w:val="21"/>
                      <w:highlight w:val="none"/>
                      <w:lang w:val="en-US" w:eastAsia="zh-CN"/>
                    </w:rPr>
                    <w:t>2</w:t>
                  </w:r>
                </w:p>
              </w:tc>
              <w:tc>
                <w:tcPr>
                  <w:tcW w:w="3665" w:type="dxa"/>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罗茨风机</w:t>
                  </w:r>
                </w:p>
              </w:tc>
              <w:tc>
                <w:tcPr>
                  <w:tcW w:w="1665" w:type="dxa"/>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2台</w:t>
                  </w:r>
                </w:p>
              </w:tc>
              <w:tc>
                <w:tcPr>
                  <w:tcW w:w="1311" w:type="dxa"/>
                </w:tcPr>
                <w:p>
                  <w:pPr>
                    <w:spacing w:line="240" w:lineRule="auto"/>
                    <w:jc w:val="left"/>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Pr>
                <w:p>
                  <w:pPr>
                    <w:spacing w:line="240" w:lineRule="auto"/>
                    <w:jc w:val="left"/>
                    <w:rPr>
                      <w:rFonts w:hint="eastAsia" w:ascii="宋体" w:hAnsi="宋体" w:eastAsia="宋体" w:cs="Times New Roman"/>
                      <w:color w:val="auto"/>
                      <w:kern w:val="0"/>
                      <w:sz w:val="21"/>
                      <w:szCs w:val="21"/>
                      <w:highlight w:val="none"/>
                      <w:lang w:eastAsia="zh-CN"/>
                    </w:rPr>
                  </w:pPr>
                  <w:r>
                    <w:rPr>
                      <w:rFonts w:hint="eastAsia" w:ascii="宋体" w:hAnsi="宋体" w:cs="Times New Roman"/>
                      <w:color w:val="auto"/>
                      <w:kern w:val="0"/>
                      <w:sz w:val="21"/>
                      <w:szCs w:val="21"/>
                      <w:highlight w:val="none"/>
                      <w:lang w:val="en-US" w:eastAsia="zh-CN"/>
                    </w:rPr>
                    <w:t>3</w:t>
                  </w:r>
                </w:p>
              </w:tc>
              <w:tc>
                <w:tcPr>
                  <w:tcW w:w="3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消毒设备</w:t>
                  </w:r>
                </w:p>
              </w:tc>
              <w:tc>
                <w:tcPr>
                  <w:tcW w:w="1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cs="Times New Roman"/>
                      <w:color w:val="auto"/>
                      <w:kern w:val="0"/>
                      <w:sz w:val="21"/>
                      <w:szCs w:val="21"/>
                      <w:highlight w:val="none"/>
                      <w:lang w:val="en-US" w:eastAsia="zh-CN"/>
                    </w:rPr>
                    <w:t>1</w:t>
                  </w:r>
                  <w:r>
                    <w:rPr>
                      <w:rFonts w:hint="eastAsia" w:ascii="宋体" w:hAnsi="宋体" w:eastAsia="宋体" w:cs="Times New Roman"/>
                      <w:color w:val="auto"/>
                      <w:kern w:val="0"/>
                      <w:sz w:val="21"/>
                      <w:szCs w:val="21"/>
                      <w:highlight w:val="none"/>
                    </w:rPr>
                    <w:t>台</w:t>
                  </w:r>
                </w:p>
              </w:tc>
              <w:tc>
                <w:tcPr>
                  <w:tcW w:w="1311" w:type="dxa"/>
                </w:tcPr>
                <w:p>
                  <w:pPr>
                    <w:spacing w:line="240" w:lineRule="auto"/>
                    <w:jc w:val="left"/>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7" w:type="dxa"/>
                </w:tcPr>
                <w:p>
                  <w:pPr>
                    <w:spacing w:line="240" w:lineRule="auto"/>
                    <w:jc w:val="left"/>
                    <w:rPr>
                      <w:rFonts w:hint="eastAsia" w:ascii="宋体" w:hAnsi="宋体" w:eastAsia="宋体" w:cs="Times New Roman"/>
                      <w:color w:val="auto"/>
                      <w:kern w:val="0"/>
                      <w:sz w:val="21"/>
                      <w:szCs w:val="21"/>
                      <w:highlight w:val="none"/>
                      <w:lang w:eastAsia="zh-CN"/>
                    </w:rPr>
                  </w:pPr>
                  <w:r>
                    <w:rPr>
                      <w:rFonts w:hint="eastAsia" w:ascii="宋体" w:hAnsi="宋体" w:cs="Times New Roman"/>
                      <w:color w:val="auto"/>
                      <w:kern w:val="0"/>
                      <w:sz w:val="21"/>
                      <w:szCs w:val="21"/>
                      <w:highlight w:val="none"/>
                      <w:lang w:val="en-US" w:eastAsia="zh-CN"/>
                    </w:rPr>
                    <w:t>4</w:t>
                  </w:r>
                </w:p>
              </w:tc>
              <w:tc>
                <w:tcPr>
                  <w:tcW w:w="3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加药泵</w:t>
                  </w:r>
                </w:p>
              </w:tc>
              <w:tc>
                <w:tcPr>
                  <w:tcW w:w="1665" w:type="dxa"/>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2台</w:t>
                  </w:r>
                </w:p>
              </w:tc>
              <w:tc>
                <w:tcPr>
                  <w:tcW w:w="1311" w:type="dxa"/>
                </w:tcPr>
                <w:p>
                  <w:pPr>
                    <w:spacing w:line="240" w:lineRule="auto"/>
                    <w:jc w:val="left"/>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Pr>
                <w:p>
                  <w:pPr>
                    <w:spacing w:line="240" w:lineRule="auto"/>
                    <w:jc w:val="left"/>
                    <w:rPr>
                      <w:rFonts w:hint="eastAsia" w:ascii="宋体" w:hAnsi="宋体" w:eastAsia="宋体" w:cs="Times New Roman"/>
                      <w:color w:val="auto"/>
                      <w:kern w:val="0"/>
                      <w:sz w:val="21"/>
                      <w:szCs w:val="21"/>
                      <w:highlight w:val="none"/>
                      <w:lang w:eastAsia="zh-CN"/>
                    </w:rPr>
                  </w:pPr>
                  <w:r>
                    <w:rPr>
                      <w:rFonts w:hint="eastAsia" w:ascii="宋体" w:hAnsi="宋体" w:cs="Times New Roman"/>
                      <w:color w:val="auto"/>
                      <w:kern w:val="0"/>
                      <w:sz w:val="21"/>
                      <w:szCs w:val="21"/>
                      <w:highlight w:val="none"/>
                      <w:lang w:val="en-US" w:eastAsia="zh-CN"/>
                    </w:rPr>
                    <w:t>5</w:t>
                  </w:r>
                </w:p>
              </w:tc>
              <w:tc>
                <w:tcPr>
                  <w:tcW w:w="3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提升泵</w:t>
                  </w:r>
                </w:p>
              </w:tc>
              <w:tc>
                <w:tcPr>
                  <w:tcW w:w="1665" w:type="dxa"/>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2台</w:t>
                  </w:r>
                </w:p>
              </w:tc>
              <w:tc>
                <w:tcPr>
                  <w:tcW w:w="1311" w:type="dxa"/>
                </w:tcPr>
                <w:p>
                  <w:pPr>
                    <w:spacing w:line="240" w:lineRule="auto"/>
                    <w:jc w:val="left"/>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Pr>
                <w:p>
                  <w:pPr>
                    <w:spacing w:line="240" w:lineRule="auto"/>
                    <w:jc w:val="left"/>
                    <w:rPr>
                      <w:rFonts w:hint="eastAsia" w:ascii="宋体" w:hAnsi="宋体" w:eastAsia="宋体" w:cs="Times New Roman"/>
                      <w:color w:val="auto"/>
                      <w:kern w:val="0"/>
                      <w:sz w:val="21"/>
                      <w:szCs w:val="21"/>
                      <w:highlight w:val="none"/>
                      <w:lang w:eastAsia="zh-CN"/>
                    </w:rPr>
                  </w:pPr>
                  <w:r>
                    <w:rPr>
                      <w:rFonts w:hint="eastAsia" w:ascii="宋体" w:hAnsi="宋体" w:cs="Times New Roman"/>
                      <w:color w:val="auto"/>
                      <w:kern w:val="0"/>
                      <w:sz w:val="21"/>
                      <w:szCs w:val="21"/>
                      <w:highlight w:val="none"/>
                      <w:lang w:val="en-US" w:eastAsia="zh-CN"/>
                    </w:rPr>
                    <w:t>6</w:t>
                  </w:r>
                </w:p>
              </w:tc>
              <w:tc>
                <w:tcPr>
                  <w:tcW w:w="3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污泥泵</w:t>
                  </w:r>
                </w:p>
              </w:tc>
              <w:tc>
                <w:tcPr>
                  <w:tcW w:w="1665" w:type="dxa"/>
                </w:tcPr>
                <w:p>
                  <w:pPr>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2台</w:t>
                  </w:r>
                </w:p>
              </w:tc>
              <w:tc>
                <w:tcPr>
                  <w:tcW w:w="1311" w:type="dxa"/>
                </w:tcPr>
                <w:p>
                  <w:pPr>
                    <w:spacing w:line="240" w:lineRule="auto"/>
                    <w:jc w:val="left"/>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Pr>
                <w:p>
                  <w:pPr>
                    <w:spacing w:line="240" w:lineRule="auto"/>
                    <w:jc w:val="left"/>
                    <w:rPr>
                      <w:rFonts w:hint="eastAsia" w:ascii="宋体" w:hAnsi="宋体" w:eastAsia="宋体" w:cs="Times New Roman"/>
                      <w:color w:val="auto"/>
                      <w:kern w:val="0"/>
                      <w:sz w:val="21"/>
                      <w:szCs w:val="21"/>
                      <w:highlight w:val="none"/>
                      <w:lang w:eastAsia="zh-CN"/>
                    </w:rPr>
                  </w:pPr>
                  <w:r>
                    <w:rPr>
                      <w:rFonts w:hint="eastAsia" w:ascii="宋体" w:hAnsi="宋体" w:cs="Times New Roman"/>
                      <w:color w:val="auto"/>
                      <w:kern w:val="0"/>
                      <w:sz w:val="21"/>
                      <w:szCs w:val="21"/>
                      <w:highlight w:val="none"/>
                      <w:lang w:val="en-US" w:eastAsia="zh-CN"/>
                    </w:rPr>
                    <w:t>7</w:t>
                  </w:r>
                </w:p>
              </w:tc>
              <w:tc>
                <w:tcPr>
                  <w:tcW w:w="3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余氯在线监测仪</w:t>
                  </w:r>
                </w:p>
              </w:tc>
              <w:tc>
                <w:tcPr>
                  <w:tcW w:w="1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1台</w:t>
                  </w:r>
                </w:p>
              </w:tc>
              <w:tc>
                <w:tcPr>
                  <w:tcW w:w="1311" w:type="dxa"/>
                </w:tcPr>
                <w:p>
                  <w:pPr>
                    <w:spacing w:line="240" w:lineRule="auto"/>
                    <w:jc w:val="left"/>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Pr>
                <w:p>
                  <w:pPr>
                    <w:spacing w:line="240" w:lineRule="auto"/>
                    <w:jc w:val="left"/>
                    <w:rPr>
                      <w:rFonts w:hint="eastAsia" w:ascii="宋体" w:hAnsi="宋体" w:eastAsia="宋体" w:cs="Times New Roman"/>
                      <w:color w:val="auto"/>
                      <w:kern w:val="0"/>
                      <w:sz w:val="21"/>
                      <w:szCs w:val="21"/>
                      <w:highlight w:val="none"/>
                      <w:lang w:eastAsia="zh-CN"/>
                    </w:rPr>
                  </w:pPr>
                  <w:r>
                    <w:rPr>
                      <w:rFonts w:hint="eastAsia" w:ascii="宋体" w:hAnsi="宋体" w:cs="Times New Roman"/>
                      <w:color w:val="auto"/>
                      <w:kern w:val="0"/>
                      <w:sz w:val="21"/>
                      <w:szCs w:val="21"/>
                      <w:highlight w:val="none"/>
                      <w:lang w:val="en-US" w:eastAsia="zh-CN"/>
                    </w:rPr>
                    <w:t>8</w:t>
                  </w:r>
                </w:p>
              </w:tc>
              <w:tc>
                <w:tcPr>
                  <w:tcW w:w="3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超声波明渠流量计</w:t>
                  </w:r>
                </w:p>
              </w:tc>
              <w:tc>
                <w:tcPr>
                  <w:tcW w:w="1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1台</w:t>
                  </w:r>
                </w:p>
              </w:tc>
              <w:tc>
                <w:tcPr>
                  <w:tcW w:w="1311" w:type="dxa"/>
                </w:tcPr>
                <w:p>
                  <w:pPr>
                    <w:spacing w:line="240" w:lineRule="auto"/>
                    <w:jc w:val="left"/>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Pr>
                <w:p>
                  <w:pPr>
                    <w:spacing w:line="240" w:lineRule="auto"/>
                    <w:jc w:val="left"/>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9</w:t>
                  </w:r>
                </w:p>
              </w:tc>
              <w:tc>
                <w:tcPr>
                  <w:tcW w:w="3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P</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计</w:t>
                  </w:r>
                </w:p>
              </w:tc>
              <w:tc>
                <w:tcPr>
                  <w:tcW w:w="1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1台</w:t>
                  </w:r>
                </w:p>
              </w:tc>
              <w:tc>
                <w:tcPr>
                  <w:tcW w:w="1311" w:type="dxa"/>
                </w:tcPr>
                <w:p>
                  <w:pPr>
                    <w:spacing w:line="240" w:lineRule="auto"/>
                    <w:jc w:val="left"/>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Pr>
                <w:p>
                  <w:pPr>
                    <w:spacing w:line="240" w:lineRule="auto"/>
                    <w:jc w:val="left"/>
                    <w:rPr>
                      <w:rFonts w:hint="eastAsia" w:ascii="宋体" w:hAnsi="宋体" w:eastAsia="宋体" w:cs="Times New Roman"/>
                      <w:color w:val="auto"/>
                      <w:kern w:val="0"/>
                      <w:sz w:val="21"/>
                      <w:szCs w:val="21"/>
                      <w:highlight w:val="none"/>
                      <w:lang w:eastAsia="zh-CN"/>
                    </w:rPr>
                  </w:pPr>
                  <w:r>
                    <w:rPr>
                      <w:rFonts w:ascii="宋体" w:hAnsi="宋体" w:eastAsia="宋体" w:cs="Times New Roman"/>
                      <w:color w:val="auto"/>
                      <w:kern w:val="0"/>
                      <w:sz w:val="21"/>
                      <w:szCs w:val="21"/>
                      <w:highlight w:val="none"/>
                    </w:rPr>
                    <w:t>1</w:t>
                  </w:r>
                  <w:r>
                    <w:rPr>
                      <w:rFonts w:hint="eastAsia" w:ascii="宋体" w:hAnsi="宋体" w:cs="Times New Roman"/>
                      <w:color w:val="auto"/>
                      <w:kern w:val="0"/>
                      <w:sz w:val="21"/>
                      <w:szCs w:val="21"/>
                      <w:highlight w:val="none"/>
                      <w:lang w:val="en-US" w:eastAsia="zh-CN"/>
                    </w:rPr>
                    <w:t>0</w:t>
                  </w:r>
                </w:p>
              </w:tc>
              <w:tc>
                <w:tcPr>
                  <w:tcW w:w="3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数据采集仪</w:t>
                  </w:r>
                </w:p>
              </w:tc>
              <w:tc>
                <w:tcPr>
                  <w:tcW w:w="1665" w:type="dxa"/>
                </w:tcPr>
                <w:p>
                  <w:pPr>
                    <w:spacing w:line="240" w:lineRule="auto"/>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1台</w:t>
                  </w:r>
                </w:p>
              </w:tc>
              <w:tc>
                <w:tcPr>
                  <w:tcW w:w="1311" w:type="dxa"/>
                </w:tcPr>
                <w:p>
                  <w:pPr>
                    <w:spacing w:line="240" w:lineRule="auto"/>
                    <w:jc w:val="left"/>
                    <w:rPr>
                      <w:rFonts w:hint="eastAsia" w:ascii="宋体" w:hAnsi="宋体" w:eastAsia="宋体" w:cs="Times New Roman"/>
                      <w:color w:val="auto"/>
                      <w:kern w:val="0"/>
                      <w:sz w:val="21"/>
                      <w:szCs w:val="21"/>
                      <w:highlight w:val="none"/>
                    </w:rPr>
                  </w:pPr>
                </w:p>
              </w:tc>
            </w:tr>
          </w:tbl>
          <w:p>
            <w:pPr>
              <w:spacing w:line="240" w:lineRule="auto"/>
              <w:jc w:val="left"/>
              <w:rPr>
                <w:rFonts w:hint="eastAsia" w:cs="宋体"/>
                <w:color w:val="auto"/>
                <w:sz w:val="21"/>
                <w:szCs w:val="21"/>
                <w:highlight w:val="none"/>
              </w:rPr>
            </w:pP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①供应商负责每季度至少一次对设备、支架、管道维护等钢结构除锈刷漆及喷字等，各工艺单元功能维护，确保污水处理站内墙面及卫生干净整洁，设施设备处于最佳运行状态。</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②设备在日常保养和维修中(质保期外)，单一零备件价格或单一材料价格经采购人</w:t>
            </w:r>
            <w:r>
              <w:rPr>
                <w:rFonts w:hint="eastAsia" w:ascii="宋体" w:hAnsi="宋体" w:eastAsia="宋体" w:cs="宋体"/>
                <w:color w:val="auto"/>
                <w:sz w:val="21"/>
                <w:szCs w:val="21"/>
                <w:highlight w:val="none"/>
                <w:lang w:val="en-US" w:eastAsia="zh-CN"/>
              </w:rPr>
              <w:t>审核</w:t>
            </w:r>
            <w:r>
              <w:rPr>
                <w:rFonts w:hint="eastAsia" w:ascii="宋体" w:hAnsi="宋体" w:eastAsia="宋体" w:cs="宋体"/>
                <w:color w:val="auto"/>
                <w:sz w:val="21"/>
                <w:szCs w:val="21"/>
                <w:highlight w:val="none"/>
              </w:rPr>
              <w:t>后在1000元以下的(含1000元)，由</w:t>
            </w:r>
            <w:r>
              <w:rPr>
                <w:rFonts w:hint="eastAsia" w:ascii="宋体" w:hAnsi="宋体" w:eastAsia="宋体" w:cs="宋体"/>
                <w:color w:val="auto"/>
                <w:sz w:val="21"/>
                <w:szCs w:val="21"/>
                <w:highlight w:val="none"/>
              </w:rPr>
              <w:t>供应商负责。关键部件损坏超过1000元或需要大修、设备正常报废的由采购人负责；如审</w:t>
            </w:r>
            <w:r>
              <w:rPr>
                <w:rFonts w:hint="eastAsia" w:ascii="宋体" w:hAnsi="宋体" w:eastAsia="宋体" w:cs="宋体"/>
                <w:color w:val="auto"/>
                <w:sz w:val="21"/>
                <w:szCs w:val="21"/>
                <w:highlight w:val="none"/>
                <w:lang w:val="en-US" w:eastAsia="zh-CN"/>
              </w:rPr>
              <w:t>核</w:t>
            </w:r>
            <w:r>
              <w:rPr>
                <w:rFonts w:hint="eastAsia" w:ascii="宋体" w:hAnsi="宋体" w:eastAsia="宋体" w:cs="宋体"/>
                <w:color w:val="auto"/>
                <w:sz w:val="21"/>
                <w:szCs w:val="21"/>
                <w:highlight w:val="none"/>
              </w:rPr>
              <w:t>前单件材料金额等于或超过1000元，审</w:t>
            </w:r>
            <w:r>
              <w:rPr>
                <w:rFonts w:hint="eastAsia" w:ascii="宋体" w:hAnsi="宋体" w:eastAsia="宋体" w:cs="宋体"/>
                <w:color w:val="auto"/>
                <w:sz w:val="21"/>
                <w:szCs w:val="21"/>
                <w:highlight w:val="none"/>
                <w:lang w:val="en-US" w:eastAsia="zh-CN"/>
              </w:rPr>
              <w:t>核</w:t>
            </w:r>
            <w:r>
              <w:rPr>
                <w:rFonts w:hint="eastAsia" w:ascii="宋体" w:hAnsi="宋体" w:eastAsia="宋体" w:cs="宋体"/>
                <w:color w:val="auto"/>
                <w:sz w:val="21"/>
                <w:szCs w:val="21"/>
                <w:highlight w:val="none"/>
              </w:rPr>
              <w:t>后金额低于1000元则该材料费用由供应商负责。</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③供应商负责对污水处理站的设备进行日常保养、维护、维修等工作，同时完成以下内容：</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a.月度巡检：每月1次，组织电气、工艺、设备工程师对污水处理站进行电气、工艺及设备正常性巡检。并按要求对设备设施进行定期和不定期维护保养，使处于最佳运行状态。</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b.设备检修：考虑综合故障率，每月每个污水处理站2次应急处置，设备维修。</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c.工艺调试：每</w:t>
            </w:r>
            <w:r>
              <w:rPr>
                <w:rFonts w:hint="eastAsia" w:ascii="宋体" w:hAnsi="宋体" w:cs="宋体"/>
                <w:color w:val="auto"/>
                <w:sz w:val="21"/>
                <w:szCs w:val="21"/>
                <w:highlight w:val="none"/>
                <w:lang w:val="en-US" w:eastAsia="zh-CN"/>
              </w:rPr>
              <w:t>年</w:t>
            </w:r>
            <w:r>
              <w:rPr>
                <w:rFonts w:hint="eastAsia" w:ascii="宋体" w:hAnsi="宋体" w:eastAsia="宋体" w:cs="宋体"/>
                <w:color w:val="auto"/>
                <w:sz w:val="21"/>
                <w:szCs w:val="21"/>
                <w:highlight w:val="none"/>
              </w:rPr>
              <w:t>一次。</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d.完成下表内容</w:t>
            </w:r>
          </w:p>
          <w:tbl>
            <w:tblPr>
              <w:tblStyle w:val="48"/>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序号</w:t>
                  </w:r>
                </w:p>
              </w:tc>
              <w:tc>
                <w:tcPr>
                  <w:tcW w:w="7426"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1</w:t>
                  </w:r>
                </w:p>
              </w:tc>
              <w:tc>
                <w:tcPr>
                  <w:tcW w:w="7426"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每周对相关传感器探头进行清洗，如DO仪传感器、余氯仪传感器、超声波探头等；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 w:type="dxa"/>
                  <w:vAlign w:val="center"/>
                </w:tcPr>
                <w:p>
                  <w:pPr>
                    <w:tabs>
                      <w:tab w:val="center" w:pos="725"/>
                    </w:tabs>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2</w:t>
                  </w:r>
                </w:p>
              </w:tc>
              <w:tc>
                <w:tcPr>
                  <w:tcW w:w="7426"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每月对风机滤芯进行清洗或更换；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3</w:t>
                  </w:r>
                </w:p>
              </w:tc>
              <w:tc>
                <w:tcPr>
                  <w:tcW w:w="7426"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每3个月对风机、搅拌减速机等机械设备进行机油更换；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4</w:t>
                  </w:r>
                </w:p>
              </w:tc>
              <w:tc>
                <w:tcPr>
                  <w:tcW w:w="7426"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每6个月对风机皮带进行更换处理，对加药计量泵隔膜进行检查维护，对现场仪器仪表进行校准；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5</w:t>
                  </w:r>
                </w:p>
              </w:tc>
              <w:tc>
                <w:tcPr>
                  <w:tcW w:w="7426"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每年对现场加药设备进行清洗服务，并对外露碳钢管道进行防腐处理；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6</w:t>
                  </w:r>
                </w:p>
              </w:tc>
              <w:tc>
                <w:tcPr>
                  <w:tcW w:w="7426"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完善设备、设施资料，制定设备、设施维修保养制度，并严格执各种设备要精心保养维护，保持其处于最佳工作状态。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 w:type="dxa"/>
                  <w:vAlign w:val="center"/>
                </w:tcPr>
                <w:p>
                  <w:pPr>
                    <w:spacing w:line="240" w:lineRule="auto"/>
                    <w:jc w:val="left"/>
                    <w:rPr>
                      <w:rFonts w:hint="eastAsia" w:ascii="Times New Roman" w:hAnsi="Times New Roman"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7</w:t>
                  </w:r>
                </w:p>
              </w:tc>
              <w:tc>
                <w:tcPr>
                  <w:tcW w:w="7426" w:type="dxa"/>
                </w:tcPr>
                <w:p>
                  <w:pPr>
                    <w:spacing w:line="240" w:lineRule="auto"/>
                    <w:jc w:val="left"/>
                    <w:rPr>
                      <w:rFonts w:hint="default" w:ascii="Times New Roman" w:hAnsi="Times New Roman"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每季度对潜污泵及提升泵进行杂质清理和保养维护</w:t>
                  </w:r>
                </w:p>
              </w:tc>
            </w:tr>
          </w:tbl>
          <w:p>
            <w:pPr>
              <w:spacing w:line="240" w:lineRule="auto"/>
              <w:ind w:firstLine="422" w:firstLineChars="200"/>
              <w:jc w:val="left"/>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t>.在线监测设备运维</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(1)每周需有专人到达现场进行设备校准、调试、维护保养[在线设备有(包括但不限于)：PH仪、数采仪、流量计、余氯、药剂更换；</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在线设备运维采取责任包干制，如设备出现任何问题，供应商都需要第一时间维修或更换，费用全部由供应商负责(1000元以内)。注：成交供应商须根据川环办函【2022】180号文件要求：于天府通办进行运维过程中如实填写电子运维表单，实时上传运维影像记录等。</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(3)完成下表内容：</w:t>
            </w:r>
          </w:p>
          <w:tbl>
            <w:tblPr>
              <w:tblStyle w:val="48"/>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35"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序号</w:t>
                  </w:r>
                </w:p>
              </w:tc>
              <w:tc>
                <w:tcPr>
                  <w:tcW w:w="7559" w:type="dxa"/>
                </w:tcPr>
                <w:p>
                  <w:pPr>
                    <w:spacing w:line="240" w:lineRule="auto"/>
                    <w:ind w:firstLine="371" w:firstLineChars="177"/>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5"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1</w:t>
                  </w:r>
                </w:p>
              </w:tc>
              <w:tc>
                <w:tcPr>
                  <w:tcW w:w="7559"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保证所有设备运行正常，数据正常传输到省在线平台，按照环保要求做好包括不仅限于仪器校正记录、设备维修保养记录、设备故障记录在内的相关记录；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5"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2</w:t>
                  </w:r>
                </w:p>
              </w:tc>
              <w:tc>
                <w:tcPr>
                  <w:tcW w:w="7559"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水污染源在线监测仪器因故障或维护等原因不能正常工作时，在12小时内报告相应环境保护管理部门并书面报告停运原因和设备情况，必要时采取人工监测，监测周期间隔不大于</w:t>
                  </w:r>
                  <w:r>
                    <w:rPr>
                      <w:rFonts w:hint="eastAsia" w:cs="宋体"/>
                      <w:color w:val="auto"/>
                      <w:kern w:val="0"/>
                      <w:sz w:val="21"/>
                      <w:szCs w:val="21"/>
                      <w:highlight w:val="none"/>
                      <w:lang w:val="en-US" w:eastAsia="zh-CN"/>
                    </w:rPr>
                    <w:t>4个小时</w:t>
                  </w:r>
                  <w:r>
                    <w:rPr>
                      <w:rFonts w:hint="eastAsia" w:ascii="Times New Roman" w:hAnsi="Times New Roman" w:eastAsia="宋体" w:cs="宋体"/>
                      <w:color w:val="auto"/>
                      <w:kern w:val="0"/>
                      <w:sz w:val="21"/>
                      <w:szCs w:val="21"/>
                      <w:highlight w:val="none"/>
                    </w:rPr>
                    <w:t>，数据报送每天不少于</w:t>
                  </w:r>
                  <w:r>
                    <w:rPr>
                      <w:rFonts w:hint="eastAsia" w:cs="宋体"/>
                      <w:color w:val="auto"/>
                      <w:kern w:val="0"/>
                      <w:sz w:val="21"/>
                      <w:szCs w:val="21"/>
                      <w:highlight w:val="none"/>
                      <w:lang w:val="en-US" w:eastAsia="zh-CN"/>
                    </w:rPr>
                    <w:t>6</w:t>
                  </w:r>
                  <w:r>
                    <w:rPr>
                      <w:rFonts w:hint="eastAsia" w:ascii="Times New Roman" w:hAnsi="Times New Roman" w:eastAsia="宋体" w:cs="宋体"/>
                      <w:color w:val="auto"/>
                      <w:kern w:val="0"/>
                      <w:sz w:val="21"/>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5"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3</w:t>
                  </w:r>
                </w:p>
              </w:tc>
              <w:tc>
                <w:tcPr>
                  <w:tcW w:w="7559"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每周运行记录应清晰、完整，现场记录应在现场及时填写，与仪器相关的记录可放置在现场并妥善保存；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5"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4</w:t>
                  </w:r>
                </w:p>
              </w:tc>
              <w:tc>
                <w:tcPr>
                  <w:tcW w:w="7559"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设立配件库能及时更换故障设备及相应易损配件；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5"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5</w:t>
                  </w:r>
                </w:p>
              </w:tc>
              <w:tc>
                <w:tcPr>
                  <w:tcW w:w="7559"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对于水污染源在线监测仪器所产生的废液专用容器予以暂存，并交由有危险废物处理资质的单位处理，不得随意排放或回流入污水排放口；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5"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6</w:t>
                  </w:r>
                </w:p>
              </w:tc>
              <w:tc>
                <w:tcPr>
                  <w:tcW w:w="7559"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监管平台数据填报服务：供应商须按环保部门要求负责对监测信息平台的填报工作，如《全国排污许可证管理信息平台》及《省重点排污单位自行监测信息发布平台》等相关平台的各类报表。此外供应商还需无条件配合采购人填写上级环保下发的各种调查信息、表格、问卷等上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5"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7</w:t>
                  </w:r>
                </w:p>
              </w:tc>
              <w:tc>
                <w:tcPr>
                  <w:tcW w:w="7559"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运行与维护作业指导书内容应至少包含如下内容：水污染在线监测系统各组成部分的维护方法，所安装的水污染源在线监测仪器的操作方法、试剂配制方法、维护方法，流量监测。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5" w:type="dxa"/>
                  <w:vAlign w:val="center"/>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8</w:t>
                  </w:r>
                </w:p>
              </w:tc>
              <w:tc>
                <w:tcPr>
                  <w:tcW w:w="7559" w:type="dxa"/>
                </w:tcPr>
                <w:p>
                  <w:pPr>
                    <w:spacing w:line="240" w:lineRule="auto"/>
                    <w:jc w:val="left"/>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确保站内自行监测设备的98%</w:t>
                  </w:r>
                  <w:r>
                    <w:rPr>
                      <w:rFonts w:hint="eastAsia" w:cs="宋体"/>
                      <w:color w:val="auto"/>
                      <w:kern w:val="0"/>
                      <w:sz w:val="21"/>
                      <w:szCs w:val="21"/>
                      <w:highlight w:val="none"/>
                      <w:lang w:val="en-US" w:eastAsia="zh-CN"/>
                    </w:rPr>
                    <w:t>及以上</w:t>
                  </w:r>
                  <w:r>
                    <w:rPr>
                      <w:rFonts w:hint="eastAsia" w:ascii="Times New Roman" w:hAnsi="Times New Roman" w:eastAsia="宋体" w:cs="宋体"/>
                      <w:color w:val="auto"/>
                      <w:kern w:val="0"/>
                      <w:sz w:val="21"/>
                      <w:szCs w:val="21"/>
                      <w:highlight w:val="none"/>
                    </w:rPr>
                    <w:t>在线率，按照环保部门下发的相关标准及规定对在线监测指标进行动态调整，确保排污监测方案符合国家及地方环保部门相关要求。</w:t>
                  </w:r>
                </w:p>
              </w:tc>
            </w:tr>
          </w:tbl>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自行监测运维方案及对各监测设备运维操作规范符合《污染源在线自动监控(监测)系统数据传输标准》(HJ/T212-2005)、《水污染源在线监测系统安装技术规范》(HJ/T353-2007)、《水污染源在线监测系统验收技术规范》(HT/T354-2007)、《水污染源在线监测系统运行与考核技术规范》(HJ/T355-2007)、《水污染源在线监测系统数据有效性判别技术规范》(HJ/T356-2007)、《污染源在线自动监控(监测)系统数据传输标准》(HJ/T212-2005)、《水污染源在线监测系统(CODCr、NH3-N等)运行技术规范》(HJ355-2019)等标准。</w:t>
            </w:r>
          </w:p>
          <w:p>
            <w:pPr>
              <w:spacing w:line="240" w:lineRule="auto"/>
              <w:ind w:firstLine="422" w:firstLineChars="200"/>
              <w:jc w:val="left"/>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t>.排污指标检测及监测</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(1)供应商按照GB 18466-2005《医疗机构水污染排放标准》及排污许可等相关要求负责每日两次余氯及PH手工检测，并做好台账记录。</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(2)按照对水质自行监测频率要求，实行定期与不定期相结合的方式进行监测，并出具合法合规的第三方</w:t>
            </w:r>
            <w:r>
              <w:rPr>
                <w:rFonts w:hint="eastAsia" w:ascii="宋体" w:hAnsi="宋体" w:eastAsia="宋体" w:cs="宋体"/>
                <w:color w:val="auto"/>
                <w:sz w:val="21"/>
                <w:szCs w:val="21"/>
                <w:highlight w:val="none"/>
              </w:rPr>
              <w:t>检测机构出具的带有CMA或CNAS的检测报告供采购人存档；如遇生态环境局检查中提出的相关需增设或变更的监测内容，供应商须按需整改，由此产生的所有费用由供应商全部承担；</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(3)噪声、废气监测：供应商按照GB 18466-2005《医疗机构水污染排放标准》及排污许可等相关要求对医院废气及噪声实行定期与不定期相结合的方式进行监测、并出具合法合规的第三方检测机构出具的带有CMA或CNAS的检测报告供采购人存档。</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(4)按照以下监测频次要求开展各类排污指标监测，如环保部门提出相关整改或行业标准发生变化则按照新标执行监测：</w:t>
            </w:r>
          </w:p>
          <w:tbl>
            <w:tblPr>
              <w:tblStyle w:val="47"/>
              <w:tblW w:w="8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647"/>
              <w:gridCol w:w="1436"/>
              <w:gridCol w:w="1238"/>
              <w:gridCol w:w="1389"/>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56" w:type="dxa"/>
                  <w:vMerge w:val="restart"/>
                  <w:shd w:val="clear" w:color="auto" w:fill="auto"/>
                  <w:noWrap/>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监测类别</w:t>
                  </w:r>
                </w:p>
              </w:tc>
              <w:tc>
                <w:tcPr>
                  <w:tcW w:w="1647"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监测项目点位</w:t>
                  </w:r>
                </w:p>
              </w:tc>
              <w:tc>
                <w:tcPr>
                  <w:tcW w:w="1436"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监测项目内容</w:t>
                  </w:r>
                </w:p>
              </w:tc>
              <w:tc>
                <w:tcPr>
                  <w:tcW w:w="1238"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监测点位数量(个)</w:t>
                  </w:r>
                </w:p>
              </w:tc>
              <w:tc>
                <w:tcPr>
                  <w:tcW w:w="1389"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采样方法及个数</w:t>
                  </w:r>
                </w:p>
              </w:tc>
              <w:tc>
                <w:tcPr>
                  <w:tcW w:w="1525"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525"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废水</w:t>
                  </w:r>
                </w:p>
              </w:tc>
              <w:tc>
                <w:tcPr>
                  <w:tcW w:w="1647"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医疗废水排放口</w:t>
                  </w: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pH</w:t>
                  </w:r>
                </w:p>
              </w:tc>
              <w:tc>
                <w:tcPr>
                  <w:tcW w:w="1238"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2个</w:t>
                  </w:r>
                </w:p>
              </w:tc>
              <w:tc>
                <w:tcPr>
                  <w:tcW w:w="1389" w:type="dxa"/>
                  <w:shd w:val="clear" w:color="auto" w:fill="auto"/>
                  <w:vAlign w:val="center"/>
                </w:tcPr>
                <w:p>
                  <w:pPr>
                    <w:widowControl/>
                    <w:spacing w:line="240" w:lineRule="auto"/>
                    <w:jc w:val="left"/>
                    <w:rPr>
                      <w:rFonts w:hint="default" w:eastAsia="宋体"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hint="eastAsia" w:eastAsia="宋体" w:asciiTheme="minorEastAsia" w:hAnsi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色度</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悬浮物</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化学需氧量</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五日生化需氧量</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阴离子表面活性剂</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hint="eastAsia" w:eastAsia="宋体"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总汞</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hint="default" w:eastAsia="宋体"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总镉</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hint="eastAsia" w:eastAsia="宋体"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总铬</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hint="default" w:eastAsia="宋体"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六价铬</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hint="eastAsia" w:eastAsia="宋体"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总砷</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hint="eastAsia" w:eastAsia="宋体"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总铅</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氨氮</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hint="eastAsia" w:eastAsia="宋体" w:asciiTheme="minorEastAsia" w:hAnsi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石油类</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动植物油</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挥发酚</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总氰化物</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总余氯</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粪大肠菌群</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hint="default" w:eastAsia="宋体"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肠道致病菌</w:t>
                  </w:r>
                </w:p>
              </w:tc>
              <w:tc>
                <w:tcPr>
                  <w:tcW w:w="1238" w:type="dxa"/>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hint="default" w:eastAsia="宋体"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肠道病毒</w:t>
                  </w:r>
                </w:p>
              </w:tc>
              <w:tc>
                <w:tcPr>
                  <w:tcW w:w="1238" w:type="dxa"/>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hint="eastAsia" w:eastAsia="宋体" w:asciiTheme="minorEastAsia" w:hAnsi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lang w:val="en-US" w:eastAsia="zh-CN"/>
                    </w:rPr>
                    <w:t>混合采样至少3个混合样</w:t>
                  </w:r>
                </w:p>
              </w:tc>
              <w:tc>
                <w:tcPr>
                  <w:tcW w:w="1525" w:type="dxa"/>
                  <w:shd w:val="clear" w:color="auto" w:fill="auto"/>
                  <w:vAlign w:val="center"/>
                </w:tcPr>
                <w:p>
                  <w:pPr>
                    <w:widowControl/>
                    <w:spacing w:line="240" w:lineRule="auto"/>
                    <w:jc w:val="left"/>
                    <w:rPr>
                      <w:rFonts w:hint="eastAsia" w:eastAsia="宋体" w:asciiTheme="minorEastAsia" w:hAnsi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污水废气</w:t>
                  </w:r>
                </w:p>
              </w:tc>
              <w:tc>
                <w:tcPr>
                  <w:tcW w:w="1647"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废气监测点位2个点位</w:t>
                  </w: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排气参数</w:t>
                  </w:r>
                </w:p>
              </w:tc>
              <w:tc>
                <w:tcPr>
                  <w:tcW w:w="1238" w:type="dxa"/>
                  <w:vMerge w:val="restart"/>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2个</w:t>
                  </w:r>
                  <w:r>
                    <w:rPr>
                      <w:rFonts w:hint="eastAsia" w:asciiTheme="minorEastAsia" w:hAnsiTheme="minorEastAsia" w:cstheme="minorEastAsia"/>
                      <w:color w:val="auto"/>
                      <w:kern w:val="0"/>
                      <w:sz w:val="21"/>
                      <w:szCs w:val="21"/>
                      <w:highlight w:val="none"/>
                    </w:rPr>
                    <w:br w:type="textWrapping"/>
                  </w: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非连续采样，</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cstheme="minorEastAsia"/>
                      <w:color w:val="auto"/>
                      <w:kern w:val="0"/>
                      <w:sz w:val="21"/>
                      <w:szCs w:val="21"/>
                      <w:highlight w:val="none"/>
                    </w:rPr>
                    <w:t>个</w:t>
                  </w:r>
                </w:p>
              </w:tc>
              <w:tc>
                <w:tcPr>
                  <w:tcW w:w="1525" w:type="dxa"/>
                  <w:shd w:val="clear" w:color="auto" w:fill="auto"/>
                  <w:vAlign w:val="center"/>
                </w:tcPr>
                <w:p>
                  <w:pPr>
                    <w:widowControl/>
                    <w:spacing w:line="240" w:lineRule="auto"/>
                    <w:jc w:val="left"/>
                    <w:rPr>
                      <w:rFonts w:hint="eastAsia" w:eastAsia="宋体" w:asciiTheme="minorEastAsia" w:hAnsi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甲烷</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非连续采样，</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cstheme="minorEastAsia"/>
                      <w:color w:val="auto"/>
                      <w:kern w:val="0"/>
                      <w:sz w:val="21"/>
                      <w:szCs w:val="21"/>
                      <w:highlight w:val="none"/>
                    </w:rPr>
                    <w:t>个</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臭气浓度</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非连续采样，</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cstheme="minorEastAsia"/>
                      <w:color w:val="auto"/>
                      <w:kern w:val="0"/>
                      <w:sz w:val="21"/>
                      <w:szCs w:val="21"/>
                      <w:highlight w:val="none"/>
                    </w:rPr>
                    <w:t>个</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氨</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非连续采样，</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cstheme="minorEastAsia"/>
                      <w:color w:val="auto"/>
                      <w:kern w:val="0"/>
                      <w:sz w:val="21"/>
                      <w:szCs w:val="21"/>
                      <w:highlight w:val="none"/>
                    </w:rPr>
                    <w:t>个</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硫化氢</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非连续采样，</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cstheme="minorEastAsia"/>
                      <w:color w:val="auto"/>
                      <w:kern w:val="0"/>
                      <w:sz w:val="21"/>
                      <w:szCs w:val="21"/>
                      <w:highlight w:val="none"/>
                    </w:rPr>
                    <w:t>个</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6"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647"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436"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氯气</w:t>
                  </w:r>
                </w:p>
              </w:tc>
              <w:tc>
                <w:tcPr>
                  <w:tcW w:w="1238" w:type="dxa"/>
                  <w:vMerge w:val="continue"/>
                  <w:vAlign w:val="center"/>
                </w:tcPr>
                <w:p>
                  <w:pPr>
                    <w:widowControl/>
                    <w:spacing w:line="240" w:lineRule="auto"/>
                    <w:jc w:val="left"/>
                    <w:rPr>
                      <w:rFonts w:asciiTheme="minorEastAsia" w:hAnsiTheme="minorEastAsia" w:cstheme="minorEastAsia"/>
                      <w:color w:val="auto"/>
                      <w:kern w:val="0"/>
                      <w:sz w:val="21"/>
                      <w:szCs w:val="21"/>
                      <w:highlight w:val="none"/>
                    </w:rPr>
                  </w:pPr>
                </w:p>
              </w:tc>
              <w:tc>
                <w:tcPr>
                  <w:tcW w:w="1389"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非连续采样，</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cstheme="minorEastAsia"/>
                      <w:color w:val="auto"/>
                      <w:kern w:val="0"/>
                      <w:sz w:val="21"/>
                      <w:szCs w:val="21"/>
                      <w:highlight w:val="none"/>
                    </w:rPr>
                    <w:t>个</w:t>
                  </w:r>
                </w:p>
              </w:tc>
              <w:tc>
                <w:tcPr>
                  <w:tcW w:w="1525" w:type="dxa"/>
                  <w:shd w:val="clear" w:color="auto" w:fill="auto"/>
                  <w:vAlign w:val="center"/>
                </w:tcPr>
                <w:p>
                  <w:pPr>
                    <w:widowControl/>
                    <w:spacing w:line="240" w:lineRule="auto"/>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次×1</w:t>
                  </w:r>
                  <w:r>
                    <w:rPr>
                      <w:rFonts w:hint="eastAsia" w:asciiTheme="minorEastAsia" w:hAnsiTheme="minorEastAsia" w:cstheme="minorEastAsia"/>
                      <w:color w:val="auto"/>
                      <w:kern w:val="0"/>
                      <w:sz w:val="21"/>
                      <w:szCs w:val="21"/>
                      <w:highlight w:val="none"/>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1" w:type="dxa"/>
                  <w:gridSpan w:val="6"/>
                  <w:shd w:val="clear" w:color="auto" w:fill="auto"/>
                  <w:vAlign w:val="center"/>
                </w:tcPr>
                <w:p>
                  <w:pPr>
                    <w:widowControl/>
                    <w:spacing w:line="240" w:lineRule="auto"/>
                    <w:jc w:val="left"/>
                    <w:rPr>
                      <w:rFonts w:asciiTheme="minorEastAsia" w:hAnsiTheme="minorEastAsia" w:cstheme="minorEastAsia"/>
                      <w:b/>
                      <w:bCs/>
                      <w:color w:val="auto"/>
                      <w:kern w:val="0"/>
                      <w:sz w:val="21"/>
                      <w:szCs w:val="21"/>
                      <w:highlight w:val="none"/>
                    </w:rPr>
                  </w:pPr>
                  <w:r>
                    <w:rPr>
                      <w:rFonts w:hint="eastAsia" w:asciiTheme="minorEastAsia" w:hAnsiTheme="minorEastAsia" w:cstheme="minorEastAsia"/>
                      <w:b/>
                      <w:bCs/>
                      <w:color w:val="auto"/>
                      <w:kern w:val="0"/>
                      <w:sz w:val="21"/>
                      <w:szCs w:val="21"/>
                      <w:highlight w:val="none"/>
                    </w:rPr>
                    <w:t>供应商按照本院排污许可证自行监测要求对废水废气进行每周、每月、每季度、年度自行监测，并及时向采购人提交有专业检验检测技术认证(CMA)监测报告和网上数据填报，如有变动，按照环保相关规定结合医院实际情况进行监测(不额外新增费用)。</w:t>
                  </w:r>
                </w:p>
              </w:tc>
            </w:tr>
          </w:tbl>
          <w:p>
            <w:pPr>
              <w:spacing w:line="240" w:lineRule="auto"/>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5.其他服务</w:t>
            </w:r>
            <w:r>
              <w:rPr>
                <w:rFonts w:hint="eastAsia" w:ascii="宋体" w:hAnsi="宋体" w:eastAsia="宋体" w:cs="宋体"/>
                <w:b/>
                <w:bCs/>
                <w:color w:val="auto"/>
                <w:sz w:val="21"/>
                <w:szCs w:val="21"/>
                <w:highlight w:val="none"/>
              </w:rPr>
              <w:t>要求</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协助排污单位按照排污许可证要求包括但不限于如下工作：迎接环保局和其他单位的例行检查，按照排污许可证环境管理台账记录、执行(守法)报告、信息公开、其他控制以及管理要求等相关章节内容，排污涉及各类标识标牌制作及做好相关资料、文件等归集整理工作。</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(2)根据环保部门相关要求及管理办法开展污水处理站所有业务，除1000元以上设备费用外，其他所有业务费用均由供应商承担。</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负责四川省污染源监测信息管理于共享平台填报，全国排污许可证信息平台企业端标记，全国排污许可证管理信息平台季报、年报填写，按照采购人实际需求对排污许可相关信息动态变更，环保政策技术咨询等。</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(4)供应商负责安全培训：做好污水处理站运行的安全培训工作，并准备好常用安全防护用品。</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(5)供应商负责污水处理站应急预案：针对污水处理站可能发生的事故建立合理有效的应急预案，并提前做好应急物资储备工作及应急演练工作。</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(6)供应商在运维期间提供的</w:t>
            </w:r>
            <w:r>
              <w:rPr>
                <w:rFonts w:hint="eastAsia" w:ascii="宋体" w:hAnsi="宋体" w:eastAsia="宋体" w:cs="宋体"/>
                <w:color w:val="auto"/>
                <w:sz w:val="21"/>
                <w:szCs w:val="21"/>
                <w:highlight w:val="none"/>
              </w:rPr>
              <w:t>消毒药剂如和采购人的现有投药设备不匹配，需供应商自行配备投放设备进行消毒投药，运维期结束后，供应商可在不破坏污水处理站设施设备的前提下撤走所有投放设备，如合同到期90天后仍未撤场，则由采购人自行处置。</w:t>
            </w:r>
          </w:p>
          <w:p>
            <w:pPr>
              <w:spacing w:line="240" w:lineRule="auto"/>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法律责任</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1.若污水处理站排放指标超标，由此发生的罚款及行政处罚均由供应商全部负责。</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2.污水处理站所需水、电由采购人提供和承担费用。</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3.供应商签订合同前需和采购人相关负责人现场查看设备运行情况。</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4.若在运维期间发现偷排、漏排等行为，由供应商承担全部法律及经济责任。</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5.如在生态环境局等相关部门执法检查及考核中，涉及污水处理站运行或处置相关危险废物有违法或不合规行为发生，由此产生的经济损失及法律责任由供应商全部承担。</w:t>
            </w:r>
          </w:p>
          <w:p>
            <w:pPr>
              <w:spacing w:line="24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6.运维期间，供应商应负责污水处理站内的各项安全责任，包括但不限于站点运行人员安全、设施设备设置或运作不规范导致其他人员伤亡等，由此产生的经济纠纷及法律责任由供应商全部承担。</w:t>
            </w:r>
          </w:p>
          <w:p>
            <w:pPr>
              <w:spacing w:line="240" w:lineRule="auto"/>
              <w:ind w:firstLine="373" w:firstLineChars="177"/>
              <w:jc w:val="left"/>
              <w:rPr>
                <w:rFonts w:cs="宋体"/>
                <w:b/>
                <w:bCs/>
                <w:color w:val="auto"/>
                <w:sz w:val="21"/>
                <w:szCs w:val="21"/>
                <w:highlight w:val="none"/>
              </w:rPr>
            </w:pPr>
            <w:r>
              <w:rPr>
                <w:rFonts w:hint="eastAsia" w:cs="宋体"/>
                <w:b/>
                <w:bCs/>
                <w:color w:val="auto"/>
                <w:sz w:val="21"/>
                <w:szCs w:val="21"/>
                <w:highlight w:val="none"/>
              </w:rPr>
              <w:t>(四)</w:t>
            </w:r>
            <w:r>
              <w:rPr>
                <w:rFonts w:hint="eastAsia" w:cs="宋体"/>
                <w:color w:val="auto"/>
                <w:sz w:val="21"/>
                <w:szCs w:val="21"/>
                <w:highlight w:val="none"/>
              </w:rPr>
              <w:t>★</w:t>
            </w:r>
            <w:r>
              <w:rPr>
                <w:rFonts w:hint="eastAsia" w:cs="宋体"/>
                <w:b/>
                <w:bCs/>
                <w:color w:val="auto"/>
                <w:sz w:val="21"/>
                <w:szCs w:val="21"/>
                <w:highlight w:val="none"/>
              </w:rPr>
              <w:t>项目考核办法</w:t>
            </w:r>
          </w:p>
          <w:p>
            <w:pPr>
              <w:spacing w:line="240" w:lineRule="auto"/>
              <w:ind w:firstLine="373" w:firstLineChars="177"/>
              <w:jc w:val="left"/>
              <w:rPr>
                <w:rFonts w:cs="宋体"/>
                <w:b/>
                <w:bCs/>
                <w:color w:val="auto"/>
                <w:sz w:val="21"/>
                <w:szCs w:val="21"/>
                <w:highlight w:val="none"/>
              </w:rPr>
            </w:pPr>
            <w:r>
              <w:rPr>
                <w:rFonts w:hint="eastAsia" w:cs="宋体"/>
                <w:b/>
                <w:bCs/>
                <w:color w:val="auto"/>
                <w:sz w:val="21"/>
                <w:szCs w:val="21"/>
                <w:highlight w:val="none"/>
              </w:rPr>
              <w:t>1.考核方案</w:t>
            </w:r>
          </w:p>
          <w:tbl>
            <w:tblPr>
              <w:tblStyle w:val="47"/>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4217"/>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97" w:type="dxa"/>
                  <w:vAlign w:val="center"/>
                </w:tcPr>
                <w:p>
                  <w:pPr>
                    <w:spacing w:line="240" w:lineRule="auto"/>
                    <w:jc w:val="left"/>
                    <w:rPr>
                      <w:b/>
                      <w:bCs/>
                      <w:color w:val="auto"/>
                      <w:sz w:val="21"/>
                      <w:szCs w:val="21"/>
                      <w:highlight w:val="none"/>
                    </w:rPr>
                  </w:pPr>
                  <w:r>
                    <w:rPr>
                      <w:rFonts w:hint="eastAsia"/>
                      <w:b/>
                      <w:bCs/>
                      <w:color w:val="auto"/>
                      <w:sz w:val="21"/>
                      <w:szCs w:val="21"/>
                      <w:highlight w:val="none"/>
                    </w:rPr>
                    <w:t>目录</w:t>
                  </w:r>
                </w:p>
              </w:tc>
              <w:tc>
                <w:tcPr>
                  <w:tcW w:w="4217" w:type="dxa"/>
                  <w:vAlign w:val="center"/>
                </w:tcPr>
                <w:p>
                  <w:pPr>
                    <w:spacing w:line="240" w:lineRule="auto"/>
                    <w:jc w:val="left"/>
                    <w:rPr>
                      <w:b/>
                      <w:bCs/>
                      <w:color w:val="auto"/>
                      <w:sz w:val="21"/>
                      <w:szCs w:val="21"/>
                      <w:highlight w:val="none"/>
                    </w:rPr>
                  </w:pPr>
                  <w:r>
                    <w:rPr>
                      <w:rFonts w:hint="eastAsia"/>
                      <w:b/>
                      <w:bCs/>
                      <w:color w:val="auto"/>
                      <w:sz w:val="21"/>
                      <w:szCs w:val="21"/>
                      <w:highlight w:val="none"/>
                    </w:rPr>
                    <w:t>标准内容</w:t>
                  </w:r>
                </w:p>
              </w:tc>
              <w:tc>
                <w:tcPr>
                  <w:tcW w:w="2880" w:type="dxa"/>
                  <w:vAlign w:val="center"/>
                </w:tcPr>
                <w:p>
                  <w:pPr>
                    <w:spacing w:line="240" w:lineRule="auto"/>
                    <w:jc w:val="left"/>
                    <w:rPr>
                      <w:b/>
                      <w:bCs/>
                      <w:color w:val="auto"/>
                      <w:sz w:val="21"/>
                      <w:szCs w:val="21"/>
                      <w:highlight w:val="none"/>
                    </w:rPr>
                  </w:pPr>
                  <w:r>
                    <w:rPr>
                      <w:rFonts w:hint="eastAsia"/>
                      <w:b/>
                      <w:bCs/>
                      <w:color w:val="auto"/>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restart"/>
                  <w:vAlign w:val="center"/>
                </w:tcPr>
                <w:p>
                  <w:pPr>
                    <w:spacing w:line="240" w:lineRule="auto"/>
                    <w:jc w:val="left"/>
                    <w:rPr>
                      <w:color w:val="auto"/>
                      <w:sz w:val="21"/>
                      <w:szCs w:val="21"/>
                      <w:highlight w:val="none"/>
                    </w:rPr>
                  </w:pPr>
                  <w:r>
                    <w:rPr>
                      <w:rFonts w:hint="eastAsia"/>
                      <w:color w:val="auto"/>
                      <w:sz w:val="21"/>
                      <w:szCs w:val="21"/>
                      <w:highlight w:val="none"/>
                    </w:rPr>
                    <w:t>基础管理</w:t>
                  </w:r>
                </w:p>
                <w:p>
                  <w:pPr>
                    <w:spacing w:line="240" w:lineRule="auto"/>
                    <w:jc w:val="left"/>
                    <w:rPr>
                      <w:color w:val="auto"/>
                      <w:sz w:val="21"/>
                      <w:szCs w:val="21"/>
                      <w:highlight w:val="none"/>
                    </w:rPr>
                  </w:pPr>
                  <w:r>
                    <w:rPr>
                      <w:rFonts w:hint="eastAsia"/>
                      <w:color w:val="auto"/>
                      <w:sz w:val="21"/>
                      <w:szCs w:val="21"/>
                      <w:highlight w:val="none"/>
                    </w:rPr>
                    <w:t>(20分)</w:t>
                  </w: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1.污水运营管理企业的管理人员和专业技术人员持证上岗。</w:t>
                  </w:r>
                </w:p>
                <w:p>
                  <w:pPr>
                    <w:spacing w:line="240" w:lineRule="auto"/>
                    <w:jc w:val="left"/>
                    <w:rPr>
                      <w:color w:val="auto"/>
                      <w:sz w:val="21"/>
                      <w:szCs w:val="21"/>
                      <w:highlight w:val="none"/>
                    </w:rPr>
                  </w:pPr>
                  <w:r>
                    <w:rPr>
                      <w:rFonts w:hint="eastAsia"/>
                      <w:color w:val="auto"/>
                      <w:sz w:val="21"/>
                      <w:szCs w:val="21"/>
                      <w:highlight w:val="none"/>
                    </w:rPr>
                    <w:t>2.员工着装规范，佩戴明显标志，工作规范、作风严谨。</w:t>
                  </w:r>
                </w:p>
                <w:p>
                  <w:pPr>
                    <w:spacing w:line="240" w:lineRule="auto"/>
                    <w:jc w:val="left"/>
                    <w:rPr>
                      <w:color w:val="auto"/>
                      <w:sz w:val="21"/>
                      <w:szCs w:val="21"/>
                      <w:highlight w:val="none"/>
                    </w:rPr>
                  </w:pPr>
                  <w:r>
                    <w:rPr>
                      <w:rFonts w:hint="eastAsia"/>
                      <w:color w:val="auto"/>
                      <w:sz w:val="21"/>
                      <w:szCs w:val="21"/>
                      <w:highlight w:val="none"/>
                    </w:rPr>
                    <w:t>3.员工按规定穿戴使用劳动保护用品。</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共计6分，管理人员、专业技术人员每发现1人无上岗证书扣4分；着装及标志不符扣1分；未使用劳保用品扣1分。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1.污水设施设备档案资料齐全，分类成册、管理完善，查阅方便。</w:t>
                  </w:r>
                </w:p>
                <w:p>
                  <w:pPr>
                    <w:spacing w:line="240" w:lineRule="auto"/>
                    <w:jc w:val="left"/>
                    <w:rPr>
                      <w:color w:val="auto"/>
                      <w:sz w:val="21"/>
                      <w:szCs w:val="21"/>
                      <w:highlight w:val="none"/>
                    </w:rPr>
                  </w:pPr>
                  <w:r>
                    <w:rPr>
                      <w:rFonts w:hint="eastAsia"/>
                      <w:color w:val="auto"/>
                      <w:sz w:val="21"/>
                      <w:szCs w:val="21"/>
                      <w:highlight w:val="none"/>
                    </w:rPr>
                    <w:t>2.各种运行记录、维保资料、监测资料分类成册，定期归档、管理完善。</w:t>
                  </w:r>
                </w:p>
                <w:p>
                  <w:pPr>
                    <w:spacing w:line="240" w:lineRule="auto"/>
                    <w:jc w:val="left"/>
                    <w:rPr>
                      <w:color w:val="auto"/>
                      <w:sz w:val="21"/>
                      <w:szCs w:val="21"/>
                      <w:highlight w:val="none"/>
                    </w:rPr>
                  </w:pPr>
                  <w:r>
                    <w:rPr>
                      <w:rFonts w:hint="eastAsia"/>
                      <w:color w:val="auto"/>
                      <w:sz w:val="21"/>
                      <w:szCs w:val="21"/>
                      <w:highlight w:val="none"/>
                    </w:rPr>
                    <w:t>3.根据相应污水处理运行情况建立值班制度、设施设备巡查制度、安全保卫、应急处置制度。</w:t>
                  </w:r>
                </w:p>
                <w:p>
                  <w:pPr>
                    <w:spacing w:line="240" w:lineRule="auto"/>
                    <w:jc w:val="left"/>
                    <w:rPr>
                      <w:color w:val="auto"/>
                      <w:sz w:val="21"/>
                      <w:szCs w:val="21"/>
                      <w:highlight w:val="none"/>
                    </w:rPr>
                  </w:pPr>
                  <w:r>
                    <w:rPr>
                      <w:rFonts w:hint="eastAsia"/>
                      <w:color w:val="auto"/>
                      <w:sz w:val="21"/>
                      <w:szCs w:val="21"/>
                      <w:highlight w:val="none"/>
                    </w:rPr>
                    <w:t>4.设立24小时污水值班服务电话并有专人值守(含节假日)。</w:t>
                  </w:r>
                  <w:r>
                    <w:rPr>
                      <w:rFonts w:hint="eastAsia"/>
                      <w:color w:val="auto"/>
                      <w:sz w:val="21"/>
                      <w:szCs w:val="21"/>
                      <w:highlight w:val="none"/>
                    </w:rPr>
                    <w:tab/>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共计4分，每发现一项不齐全或不完善每处扣1分。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1.污水处理设施警示、功能标识完善、明显。</w:t>
                  </w:r>
                </w:p>
                <w:p>
                  <w:pPr>
                    <w:spacing w:line="240" w:lineRule="auto"/>
                    <w:jc w:val="left"/>
                    <w:rPr>
                      <w:color w:val="auto"/>
                      <w:sz w:val="21"/>
                      <w:szCs w:val="21"/>
                      <w:highlight w:val="none"/>
                    </w:rPr>
                  </w:pPr>
                  <w:r>
                    <w:rPr>
                      <w:rFonts w:hint="eastAsia"/>
                      <w:color w:val="auto"/>
                      <w:sz w:val="21"/>
                      <w:szCs w:val="21"/>
                      <w:highlight w:val="none"/>
                    </w:rPr>
                    <w:t>2.制度职责、工艺流程、操作规程、排污许可证、监测报告、应急预案、上岗证等上墙公示。</w:t>
                  </w:r>
                </w:p>
                <w:p>
                  <w:pPr>
                    <w:spacing w:line="240" w:lineRule="auto"/>
                    <w:jc w:val="left"/>
                    <w:rPr>
                      <w:color w:val="auto"/>
                      <w:sz w:val="21"/>
                      <w:szCs w:val="21"/>
                      <w:highlight w:val="none"/>
                    </w:rPr>
                  </w:pPr>
                  <w:r>
                    <w:rPr>
                      <w:rFonts w:hint="eastAsia"/>
                      <w:color w:val="auto"/>
                      <w:sz w:val="21"/>
                      <w:szCs w:val="21"/>
                      <w:highlight w:val="none"/>
                    </w:rPr>
                    <w:t>3.有污水责任人、有专职污水处理值班员。</w:t>
                  </w:r>
                </w:p>
                <w:p>
                  <w:pPr>
                    <w:spacing w:line="240" w:lineRule="auto"/>
                    <w:jc w:val="left"/>
                    <w:rPr>
                      <w:color w:val="auto"/>
                      <w:sz w:val="21"/>
                      <w:szCs w:val="21"/>
                      <w:highlight w:val="none"/>
                    </w:rPr>
                  </w:pPr>
                  <w:r>
                    <w:rPr>
                      <w:rFonts w:hint="eastAsia"/>
                      <w:color w:val="auto"/>
                      <w:sz w:val="21"/>
                      <w:szCs w:val="21"/>
                      <w:highlight w:val="none"/>
                    </w:rPr>
                    <w:t>4.现场清洁、明亮，物品摆放规范有序。</w:t>
                  </w:r>
                </w:p>
                <w:p>
                  <w:pPr>
                    <w:spacing w:line="240" w:lineRule="auto"/>
                    <w:jc w:val="left"/>
                    <w:rPr>
                      <w:color w:val="auto"/>
                      <w:sz w:val="21"/>
                      <w:szCs w:val="21"/>
                      <w:highlight w:val="none"/>
                    </w:rPr>
                  </w:pPr>
                  <w:r>
                    <w:rPr>
                      <w:rFonts w:hint="eastAsia"/>
                      <w:color w:val="auto"/>
                      <w:sz w:val="21"/>
                      <w:szCs w:val="21"/>
                      <w:highlight w:val="none"/>
                    </w:rPr>
                    <w:t>5.室内消防器材完好并在有效期内。</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共计10分，符合10分，基本符合8分，不符合0分。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restart"/>
                  <w:vAlign w:val="center"/>
                </w:tcPr>
                <w:p>
                  <w:pPr>
                    <w:spacing w:line="240" w:lineRule="auto"/>
                    <w:jc w:val="left"/>
                    <w:rPr>
                      <w:color w:val="auto"/>
                      <w:sz w:val="21"/>
                      <w:szCs w:val="21"/>
                      <w:highlight w:val="none"/>
                    </w:rPr>
                  </w:pPr>
                  <w:r>
                    <w:rPr>
                      <w:rFonts w:hint="eastAsia"/>
                      <w:color w:val="auto"/>
                      <w:sz w:val="21"/>
                      <w:szCs w:val="21"/>
                      <w:highlight w:val="none"/>
                    </w:rPr>
                    <w:t>污水设施</w:t>
                  </w:r>
                </w:p>
                <w:p>
                  <w:pPr>
                    <w:spacing w:line="240" w:lineRule="auto"/>
                    <w:jc w:val="left"/>
                    <w:rPr>
                      <w:color w:val="auto"/>
                      <w:sz w:val="21"/>
                      <w:szCs w:val="21"/>
                      <w:highlight w:val="none"/>
                    </w:rPr>
                  </w:pPr>
                  <w:r>
                    <w:rPr>
                      <w:rFonts w:hint="eastAsia"/>
                      <w:color w:val="auto"/>
                      <w:sz w:val="21"/>
                      <w:szCs w:val="21"/>
                      <w:highlight w:val="none"/>
                    </w:rPr>
                    <w:t>设备管理</w:t>
                  </w:r>
                </w:p>
                <w:p>
                  <w:pPr>
                    <w:spacing w:line="240" w:lineRule="auto"/>
                    <w:jc w:val="left"/>
                    <w:rPr>
                      <w:color w:val="auto"/>
                      <w:sz w:val="21"/>
                      <w:szCs w:val="21"/>
                      <w:highlight w:val="none"/>
                    </w:rPr>
                  </w:pPr>
                  <w:r>
                    <w:rPr>
                      <w:rFonts w:hint="eastAsia"/>
                      <w:color w:val="auto"/>
                      <w:sz w:val="21"/>
                      <w:szCs w:val="21"/>
                      <w:highlight w:val="none"/>
                    </w:rPr>
                    <w:t>(40分)</w:t>
                  </w: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1.严格执行污水设备安全运行、岗位责任制、定期巡检、维护保养、运行记录管理等维修档案等管理制度。</w:t>
                  </w:r>
                </w:p>
                <w:p>
                  <w:pPr>
                    <w:spacing w:line="240" w:lineRule="auto"/>
                    <w:jc w:val="left"/>
                    <w:rPr>
                      <w:color w:val="auto"/>
                      <w:sz w:val="21"/>
                      <w:szCs w:val="21"/>
                      <w:highlight w:val="none"/>
                    </w:rPr>
                  </w:pPr>
                  <w:r>
                    <w:rPr>
                      <w:rFonts w:hint="eastAsia"/>
                      <w:color w:val="auto"/>
                      <w:sz w:val="21"/>
                      <w:szCs w:val="21"/>
                      <w:highlight w:val="none"/>
                    </w:rPr>
                    <w:t>2.建立污水处理设施设备台账。</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共6分，符合6分，每发现一处不符合扣0.5分。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1.设备机房环境整洁、无杂物、灰尘、无鼠、虫害发生、水患、照明充足、机房环境符合设备管理及安全要求。</w:t>
                  </w:r>
                </w:p>
                <w:p>
                  <w:pPr>
                    <w:spacing w:line="240" w:lineRule="auto"/>
                    <w:jc w:val="left"/>
                    <w:rPr>
                      <w:color w:val="auto"/>
                      <w:sz w:val="21"/>
                      <w:szCs w:val="21"/>
                      <w:highlight w:val="none"/>
                    </w:rPr>
                  </w:pPr>
                  <w:r>
                    <w:rPr>
                      <w:rFonts w:hint="eastAsia"/>
                      <w:color w:val="auto"/>
                      <w:sz w:val="21"/>
                      <w:szCs w:val="21"/>
                      <w:highlight w:val="none"/>
                    </w:rPr>
                    <w:t>2.机房挂置有相关操作、安全、管理等制度，管道流向标识完好。</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共6分，符合6分，每发现-处不符合扣0.5分。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从事污水设施设备维护所需各种专业技术人员。严格执行操作规程、持证上岗。</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符合5分，每发现-处不符合扣0.5分。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保证污水系统的安全可靠、稳定运行和达标排放.无重大管理、安全责任事故。</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符合5分，不符合总分扣20分，并承担相关责任。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污水处理供电用电设备安全、正常，无运行缺陷、设备清洁、标识规范完整。</w:t>
                  </w:r>
                </w:p>
                <w:p>
                  <w:pPr>
                    <w:spacing w:line="240" w:lineRule="auto"/>
                    <w:jc w:val="left"/>
                    <w:rPr>
                      <w:color w:val="auto"/>
                      <w:sz w:val="21"/>
                      <w:szCs w:val="21"/>
                      <w:highlight w:val="none"/>
                    </w:rPr>
                  </w:pPr>
                  <w:r>
                    <w:rPr>
                      <w:rFonts w:hint="eastAsia"/>
                      <w:color w:val="auto"/>
                      <w:sz w:val="21"/>
                      <w:szCs w:val="21"/>
                      <w:highlight w:val="none"/>
                    </w:rPr>
                    <w:t>定期试运行污水处理站双电源等应急设备。</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共5分，每发现-处不符合扣0.5分。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1.各污水池功能完好，无浮渣、漂泥、气泡、水体颜色、气味、活性淤泥、溶解氧、沉降比等异常情况发生。</w:t>
                  </w:r>
                </w:p>
                <w:p>
                  <w:pPr>
                    <w:spacing w:line="240" w:lineRule="auto"/>
                    <w:jc w:val="left"/>
                    <w:rPr>
                      <w:color w:val="auto"/>
                      <w:sz w:val="21"/>
                      <w:szCs w:val="21"/>
                      <w:highlight w:val="none"/>
                    </w:rPr>
                  </w:pPr>
                  <w:r>
                    <w:rPr>
                      <w:rFonts w:hint="eastAsia"/>
                      <w:color w:val="auto"/>
                      <w:sz w:val="21"/>
                      <w:szCs w:val="21"/>
                      <w:highlight w:val="none"/>
                    </w:rPr>
                    <w:t>2.各污水池提升泵、管道、除臭风机等污水设备运行正常，无渗漏、堵塞、失灵现象。</w:t>
                  </w:r>
                </w:p>
                <w:p>
                  <w:pPr>
                    <w:spacing w:line="240" w:lineRule="auto"/>
                    <w:jc w:val="left"/>
                    <w:rPr>
                      <w:color w:val="auto"/>
                      <w:sz w:val="21"/>
                      <w:szCs w:val="21"/>
                      <w:highlight w:val="none"/>
                    </w:rPr>
                  </w:pPr>
                  <w:r>
                    <w:rPr>
                      <w:rFonts w:hint="eastAsia"/>
                      <w:color w:val="auto"/>
                      <w:sz w:val="21"/>
                      <w:szCs w:val="21"/>
                      <w:highlight w:val="none"/>
                    </w:rPr>
                    <w:t>3.设备、阀门、管道工作正常、无跑冒滴漏和污染环境事件发生。</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符合10分，不符合均每处扣1分，发生环境超标污染事件总分扣20分，并承担相关责任。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定期校验检测仪器、仪表，各类检测仪器仪表完好率100%。</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符合3分，不符合均每处扣1分。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restart"/>
                  <w:vAlign w:val="center"/>
                </w:tcPr>
                <w:p>
                  <w:pPr>
                    <w:spacing w:line="240" w:lineRule="auto"/>
                    <w:jc w:val="left"/>
                    <w:rPr>
                      <w:color w:val="auto"/>
                      <w:sz w:val="21"/>
                      <w:szCs w:val="21"/>
                      <w:highlight w:val="none"/>
                    </w:rPr>
                  </w:pPr>
                  <w:r>
                    <w:rPr>
                      <w:rFonts w:hint="eastAsia"/>
                      <w:color w:val="auto"/>
                      <w:sz w:val="21"/>
                      <w:szCs w:val="21"/>
                      <w:highlight w:val="none"/>
                    </w:rPr>
                    <w:t>污水运行</w:t>
                  </w:r>
                </w:p>
                <w:p>
                  <w:pPr>
                    <w:spacing w:line="240" w:lineRule="auto"/>
                    <w:jc w:val="left"/>
                    <w:rPr>
                      <w:color w:val="auto"/>
                      <w:sz w:val="21"/>
                      <w:szCs w:val="21"/>
                      <w:highlight w:val="none"/>
                    </w:rPr>
                  </w:pPr>
                  <w:r>
                    <w:rPr>
                      <w:rFonts w:hint="eastAsia"/>
                      <w:color w:val="auto"/>
                      <w:sz w:val="21"/>
                      <w:szCs w:val="21"/>
                      <w:highlight w:val="none"/>
                    </w:rPr>
                    <w:t>安全管理</w:t>
                  </w:r>
                </w:p>
                <w:p>
                  <w:pPr>
                    <w:spacing w:line="240" w:lineRule="auto"/>
                    <w:jc w:val="left"/>
                    <w:rPr>
                      <w:color w:val="auto"/>
                      <w:sz w:val="21"/>
                      <w:szCs w:val="21"/>
                      <w:highlight w:val="none"/>
                    </w:rPr>
                  </w:pPr>
                  <w:r>
                    <w:rPr>
                      <w:rFonts w:hint="eastAsia"/>
                      <w:color w:val="auto"/>
                      <w:sz w:val="21"/>
                      <w:szCs w:val="21"/>
                      <w:highlight w:val="none"/>
                    </w:rPr>
                    <w:t>(40分)</w:t>
                  </w: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1.污水处理运行记录规范、准确、完整、真实。</w:t>
                  </w:r>
                </w:p>
                <w:p>
                  <w:pPr>
                    <w:spacing w:line="240" w:lineRule="auto"/>
                    <w:jc w:val="left"/>
                    <w:rPr>
                      <w:color w:val="auto"/>
                      <w:sz w:val="21"/>
                      <w:szCs w:val="21"/>
                      <w:highlight w:val="none"/>
                    </w:rPr>
                  </w:pPr>
                  <w:r>
                    <w:rPr>
                      <w:rFonts w:hint="eastAsia"/>
                      <w:color w:val="auto"/>
                      <w:sz w:val="21"/>
                      <w:szCs w:val="21"/>
                      <w:highlight w:val="none"/>
                    </w:rPr>
                    <w:t>每日2次PH值、总余氯或活性氧监测记录完整并合格。</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符合4分，每发现一处不符合扣1分。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1.每周按规定采样送检悬浮物SS、化学需氧量COD指标并合格。</w:t>
                  </w:r>
                </w:p>
                <w:p>
                  <w:pPr>
                    <w:spacing w:line="240" w:lineRule="auto"/>
                    <w:jc w:val="left"/>
                    <w:rPr>
                      <w:color w:val="auto"/>
                      <w:sz w:val="21"/>
                      <w:szCs w:val="21"/>
                      <w:highlight w:val="none"/>
                    </w:rPr>
                  </w:pPr>
                  <w:r>
                    <w:rPr>
                      <w:rFonts w:hint="eastAsia"/>
                      <w:color w:val="auto"/>
                      <w:sz w:val="21"/>
                      <w:szCs w:val="21"/>
                      <w:highlight w:val="none"/>
                    </w:rPr>
                    <w:t>2.每月按规定采样送检粪大肠杆菌群数指标并合格。</w:t>
                  </w:r>
                </w:p>
                <w:p>
                  <w:pPr>
                    <w:spacing w:line="240" w:lineRule="auto"/>
                    <w:jc w:val="left"/>
                    <w:rPr>
                      <w:color w:val="auto"/>
                      <w:sz w:val="21"/>
                      <w:szCs w:val="21"/>
                      <w:highlight w:val="none"/>
                    </w:rPr>
                  </w:pPr>
                  <w:r>
                    <w:rPr>
                      <w:rFonts w:hint="eastAsia"/>
                      <w:color w:val="auto"/>
                      <w:sz w:val="21"/>
                      <w:szCs w:val="21"/>
                      <w:highlight w:val="none"/>
                    </w:rPr>
                    <w:t>3.每季度按规定采样送检生化需氧量(BOD5)、沙门氏菌、挥发酚、石油类、动植物油、阴离子表面活性剂、总氰化物指标并合格.</w:t>
                  </w:r>
                </w:p>
                <w:p>
                  <w:pPr>
                    <w:spacing w:line="240" w:lineRule="auto"/>
                    <w:jc w:val="left"/>
                    <w:rPr>
                      <w:color w:val="auto"/>
                      <w:sz w:val="21"/>
                      <w:szCs w:val="21"/>
                      <w:highlight w:val="none"/>
                    </w:rPr>
                  </w:pPr>
                  <w:r>
                    <w:rPr>
                      <w:rFonts w:hint="eastAsia"/>
                      <w:color w:val="auto"/>
                      <w:sz w:val="21"/>
                      <w:szCs w:val="21"/>
                      <w:highlight w:val="none"/>
                    </w:rPr>
                    <w:t>4.每年出具一次第三方主要指标检测报告(含：PH、SS、BOD5、CODcr、氨氮、总氯、粪大肠杆菌)并合格。</w:t>
                  </w:r>
                </w:p>
                <w:p>
                  <w:pPr>
                    <w:spacing w:line="240" w:lineRule="auto"/>
                    <w:jc w:val="left"/>
                    <w:rPr>
                      <w:color w:val="auto"/>
                      <w:sz w:val="21"/>
                      <w:szCs w:val="21"/>
                      <w:highlight w:val="none"/>
                    </w:rPr>
                  </w:pPr>
                  <w:r>
                    <w:rPr>
                      <w:rFonts w:hint="eastAsia"/>
                      <w:color w:val="auto"/>
                      <w:sz w:val="21"/>
                      <w:szCs w:val="21"/>
                      <w:highlight w:val="none"/>
                    </w:rPr>
                    <w:t>5.每季度按规定采样监测废气排放口(含：氨、硫化氢、臭气浓度、氯、甲烷)浓度指标并合格。</w:t>
                  </w:r>
                </w:p>
                <w:p>
                  <w:pPr>
                    <w:spacing w:line="240" w:lineRule="auto"/>
                    <w:jc w:val="left"/>
                    <w:rPr>
                      <w:color w:val="auto"/>
                      <w:sz w:val="21"/>
                      <w:szCs w:val="21"/>
                      <w:highlight w:val="none"/>
                    </w:rPr>
                  </w:pPr>
                  <w:r>
                    <w:rPr>
                      <w:rFonts w:hint="eastAsia"/>
                      <w:color w:val="auto"/>
                      <w:sz w:val="21"/>
                      <w:szCs w:val="21"/>
                      <w:highlight w:val="none"/>
                    </w:rPr>
                    <w:t>6.监测污水处理站昼夜噪声指标并合格。</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符合15分，每发现一项不符合扣3分，如发现一项指标不合格则扣除当月委托运维服务费，如因此造成相关环保处罚，则由供应商承担所有经济及法律责任。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污水处理站污水排放水量、消毒药品使用量、消毒药品采购量、自来水、电力消耗量台账完善真实，相关采购凭证完整，投药真实有效，无水电浪费现象。</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共5分，每发现一处不符合扣2分。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1.无偷排、漏排等违规排放现象。</w:t>
                  </w:r>
                </w:p>
                <w:p>
                  <w:pPr>
                    <w:spacing w:line="240" w:lineRule="auto"/>
                    <w:jc w:val="left"/>
                    <w:rPr>
                      <w:color w:val="auto"/>
                      <w:sz w:val="21"/>
                      <w:szCs w:val="21"/>
                      <w:highlight w:val="none"/>
                    </w:rPr>
                  </w:pPr>
                  <w:r>
                    <w:rPr>
                      <w:rFonts w:hint="eastAsia"/>
                      <w:color w:val="auto"/>
                      <w:sz w:val="21"/>
                      <w:szCs w:val="21"/>
                      <w:highlight w:val="none"/>
                    </w:rPr>
                    <w:t>2.及时上报监控可疑情况和运行、排放异常情况。</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符合10分，每发现一处扣5分，如发生偷排、漏排导致相关处罚则该条款扣完，扣罚当月托管费用，并承担相关责任。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1.值班员熟悉工艺流程和操作规程，会判断、处理和排查污水运行中的各种生化故障。</w:t>
                  </w:r>
                </w:p>
                <w:p>
                  <w:pPr>
                    <w:spacing w:line="240" w:lineRule="auto"/>
                    <w:jc w:val="left"/>
                    <w:rPr>
                      <w:color w:val="auto"/>
                      <w:sz w:val="21"/>
                      <w:szCs w:val="21"/>
                      <w:highlight w:val="none"/>
                    </w:rPr>
                  </w:pPr>
                  <w:r>
                    <w:rPr>
                      <w:rFonts w:hint="eastAsia"/>
                      <w:color w:val="auto"/>
                      <w:sz w:val="21"/>
                      <w:szCs w:val="21"/>
                      <w:highlight w:val="none"/>
                    </w:rPr>
                    <w:t>2.值班员严格遵守各种工作记录，无违规、违纪时间发生</w:t>
                  </w:r>
                </w:p>
                <w:p>
                  <w:pPr>
                    <w:spacing w:line="240" w:lineRule="auto"/>
                    <w:jc w:val="left"/>
                    <w:rPr>
                      <w:color w:val="auto"/>
                      <w:sz w:val="21"/>
                      <w:szCs w:val="21"/>
                      <w:highlight w:val="none"/>
                    </w:rPr>
                  </w:pPr>
                  <w:r>
                    <w:rPr>
                      <w:rFonts w:hint="eastAsia"/>
                      <w:color w:val="auto"/>
                      <w:sz w:val="21"/>
                      <w:szCs w:val="21"/>
                      <w:highlight w:val="none"/>
                    </w:rPr>
                    <w:t>3.有多种污水应急预案、值班员熟悉预案操作流程。</w:t>
                  </w:r>
                </w:p>
                <w:p>
                  <w:pPr>
                    <w:spacing w:line="240" w:lineRule="auto"/>
                    <w:jc w:val="left"/>
                    <w:rPr>
                      <w:color w:val="auto"/>
                      <w:sz w:val="21"/>
                      <w:szCs w:val="21"/>
                      <w:highlight w:val="none"/>
                    </w:rPr>
                  </w:pPr>
                  <w:r>
                    <w:rPr>
                      <w:rFonts w:hint="eastAsia"/>
                      <w:color w:val="auto"/>
                      <w:sz w:val="21"/>
                      <w:szCs w:val="21"/>
                      <w:highlight w:val="none"/>
                    </w:rPr>
                    <w:t>4.每年不少于一次污水应急演练。</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符合4分，每发现一处不符合扣1分。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vMerge w:val="continue"/>
                </w:tcPr>
                <w:p>
                  <w:pPr>
                    <w:spacing w:line="240" w:lineRule="auto"/>
                    <w:jc w:val="left"/>
                    <w:rPr>
                      <w:color w:val="auto"/>
                      <w:sz w:val="21"/>
                      <w:szCs w:val="21"/>
                      <w:highlight w:val="none"/>
                    </w:rPr>
                  </w:pPr>
                </w:p>
              </w:tc>
              <w:tc>
                <w:tcPr>
                  <w:tcW w:w="4217" w:type="dxa"/>
                  <w:vAlign w:val="center"/>
                </w:tcPr>
                <w:p>
                  <w:pPr>
                    <w:spacing w:line="240" w:lineRule="auto"/>
                    <w:jc w:val="left"/>
                    <w:rPr>
                      <w:color w:val="auto"/>
                      <w:sz w:val="21"/>
                      <w:szCs w:val="21"/>
                      <w:highlight w:val="none"/>
                    </w:rPr>
                  </w:pPr>
                  <w:r>
                    <w:rPr>
                      <w:rFonts w:hint="eastAsia"/>
                      <w:color w:val="auto"/>
                      <w:sz w:val="21"/>
                      <w:szCs w:val="21"/>
                      <w:highlight w:val="none"/>
                    </w:rPr>
                    <w:t>采购的污水消毒药符合招标要求；备用消毒药品数量不少于30天。</w:t>
                  </w:r>
                </w:p>
              </w:tc>
              <w:tc>
                <w:tcPr>
                  <w:tcW w:w="2880" w:type="dxa"/>
                  <w:vAlign w:val="center"/>
                </w:tcPr>
                <w:p>
                  <w:pPr>
                    <w:spacing w:line="240" w:lineRule="auto"/>
                    <w:jc w:val="left"/>
                    <w:rPr>
                      <w:color w:val="auto"/>
                      <w:sz w:val="21"/>
                      <w:szCs w:val="21"/>
                      <w:highlight w:val="none"/>
                    </w:rPr>
                  </w:pPr>
                  <w:r>
                    <w:rPr>
                      <w:rFonts w:hint="eastAsia"/>
                      <w:color w:val="auto"/>
                      <w:sz w:val="21"/>
                      <w:szCs w:val="21"/>
                      <w:highlight w:val="none"/>
                    </w:rPr>
                    <w:t>符合2分，每发现一处不符合扣1分。</w:t>
                  </w:r>
                </w:p>
              </w:tc>
            </w:tr>
          </w:tbl>
          <w:p>
            <w:pPr>
              <w:spacing w:line="240" w:lineRule="auto"/>
              <w:ind w:firstLine="373" w:firstLineChars="177"/>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color w:val="auto"/>
                <w:sz w:val="21"/>
                <w:szCs w:val="21"/>
                <w:highlight w:val="none"/>
              </w:rPr>
              <w:t>考核结果与合同款项的支付挂钩</w:t>
            </w:r>
            <w:r>
              <w:rPr>
                <w:rFonts w:hint="eastAsia" w:ascii="宋体" w:hAnsi="宋体" w:eastAsia="宋体"/>
                <w:color w:val="auto"/>
                <w:sz w:val="21"/>
                <w:szCs w:val="21"/>
                <w:highlight w:val="none"/>
              </w:rPr>
              <w:t>，</w:t>
            </w:r>
            <w:bookmarkStart w:id="340" w:name="_Toc27229"/>
            <w:r>
              <w:rPr>
                <w:rFonts w:hint="eastAsia" w:ascii="宋体" w:hAnsi="宋体" w:eastAsia="宋体" w:cstheme="minorEastAsia"/>
                <w:b/>
                <w:color w:val="auto"/>
                <w:sz w:val="21"/>
                <w:szCs w:val="21"/>
                <w:highlight w:val="none"/>
              </w:rPr>
              <w:t>采购人在每次支付合款项前对供应商的服务质量等情况作出考核</w:t>
            </w:r>
            <w:bookmarkEnd w:id="340"/>
            <w:r>
              <w:rPr>
                <w:rFonts w:hint="eastAsia" w:ascii="宋体" w:hAnsi="宋体" w:eastAsia="宋体" w:cstheme="minorEastAsia"/>
                <w:b/>
                <w:color w:val="auto"/>
                <w:sz w:val="21"/>
                <w:szCs w:val="21"/>
                <w:highlight w:val="none"/>
              </w:rPr>
              <w:t>。</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(1)供应商考核成绩达到90分(含)以上的，当季度服务费全额支付；</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(2)供应商考核成绩在80分(含)-90分(不含)的，在90分的基础上，每低1分扣2000元，不足1分按1分计算；</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(3)供应商考核成绩在70分(含)-80分(不含)的，在80分的基础上，每低1分扣3000元，不足1分按1分计算；</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(4)供应商考核成绩在60分(含)-70分(不含)的，在70分的基础上，每低1分扣4000元，不足1分按1分计算；</w:t>
            </w:r>
          </w:p>
          <w:p>
            <w:pPr>
              <w:spacing w:line="240" w:lineRule="auto"/>
              <w:ind w:firstLine="371" w:firstLineChars="177"/>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(5)供应商考核成绩在60分(不含)以下的，当季度服务费不予支付，供应商须严格按照考核标准进行整改，三次整改仍未达到要求，采购人有权终止合同。</w:t>
            </w:r>
          </w:p>
          <w:p>
            <w:pPr>
              <w:spacing w:line="240" w:lineRule="auto"/>
              <w:ind w:firstLine="373" w:firstLineChars="177"/>
              <w:jc w:val="left"/>
              <w:rPr>
                <w:rFonts w:ascii="宋体" w:hAnsi="宋体" w:eastAsia="宋体"/>
                <w:b/>
                <w:bCs/>
                <w:color w:val="auto"/>
                <w:sz w:val="21"/>
                <w:szCs w:val="21"/>
                <w:highlight w:val="none"/>
              </w:rPr>
            </w:pPr>
            <w:r>
              <w:rPr>
                <w:rFonts w:hint="eastAsia" w:ascii="宋体" w:hAnsi="宋体" w:eastAsia="宋体" w:cs="宋体"/>
                <w:b/>
                <w:bCs/>
                <w:color w:val="auto"/>
                <w:sz w:val="21"/>
                <w:szCs w:val="21"/>
                <w:highlight w:val="none"/>
              </w:rPr>
              <w:t>注：如生态环境局提出运行过程中如提出在原有设施设备上增加、更换产品，超出1000元以上的产品费用由采购人承担。</w:t>
            </w:r>
          </w:p>
          <w:p>
            <w:pPr>
              <w:pStyle w:val="254"/>
              <w:numPr>
                <w:ilvl w:val="1"/>
                <w:numId w:val="0"/>
              </w:numPr>
              <w:spacing w:line="240" w:lineRule="auto"/>
              <w:ind w:firstLine="422" w:firstLineChars="200"/>
              <w:jc w:val="left"/>
              <w:outlineLvl w:val="9"/>
              <w:rPr>
                <w:color w:val="auto"/>
                <w:sz w:val="21"/>
                <w:szCs w:val="21"/>
                <w:highlight w:val="none"/>
              </w:rPr>
            </w:pPr>
            <w:bookmarkStart w:id="341" w:name="_Toc28174"/>
            <w:r>
              <w:rPr>
                <w:rFonts w:hint="eastAsia"/>
                <w:color w:val="auto"/>
                <w:sz w:val="21"/>
                <w:szCs w:val="21"/>
                <w:highlight w:val="none"/>
              </w:rPr>
              <w:t>(五)项目履约服务方案</w:t>
            </w:r>
            <w:bookmarkEnd w:id="341"/>
          </w:p>
          <w:p>
            <w:pPr>
              <w:pStyle w:val="254"/>
              <w:numPr>
                <w:ilvl w:val="1"/>
                <w:numId w:val="0"/>
              </w:numPr>
              <w:spacing w:line="240" w:lineRule="auto"/>
              <w:ind w:firstLine="420" w:firstLineChars="200"/>
              <w:jc w:val="left"/>
              <w:outlineLvl w:val="9"/>
              <w:rPr>
                <w:b w:val="0"/>
                <w:bCs/>
                <w:color w:val="auto"/>
                <w:sz w:val="21"/>
                <w:szCs w:val="21"/>
                <w:highlight w:val="none"/>
              </w:rPr>
            </w:pPr>
            <w:bookmarkStart w:id="342" w:name="_Toc26228"/>
            <w:r>
              <w:rPr>
                <w:rFonts w:hint="eastAsia"/>
                <w:b w:val="0"/>
                <w:bCs/>
                <w:color w:val="auto"/>
                <w:sz w:val="21"/>
                <w:szCs w:val="21"/>
                <w:highlight w:val="none"/>
              </w:rPr>
              <w:t>供应商应在响应文件中提供项目服务方案，内容如下：</w:t>
            </w:r>
            <w:bookmarkEnd w:id="342"/>
          </w:p>
          <w:p>
            <w:pPr>
              <w:pStyle w:val="254"/>
              <w:numPr>
                <w:ilvl w:val="0"/>
                <w:numId w:val="0"/>
              </w:numPr>
              <w:spacing w:line="240" w:lineRule="auto"/>
              <w:ind w:firstLine="420" w:firstLineChars="200"/>
              <w:jc w:val="left"/>
              <w:outlineLvl w:val="9"/>
              <w:rPr>
                <w:b w:val="0"/>
                <w:bCs/>
                <w:color w:val="auto"/>
                <w:sz w:val="21"/>
                <w:szCs w:val="21"/>
                <w:highlight w:val="none"/>
              </w:rPr>
            </w:pPr>
            <w:bookmarkStart w:id="343" w:name="_Toc4115"/>
            <w:r>
              <w:rPr>
                <w:rFonts w:ascii="宋体" w:hAnsi="宋体" w:eastAsia="宋体" w:cs="Times New Roman"/>
                <w:b w:val="0"/>
                <w:bCs/>
                <w:color w:val="auto"/>
                <w:kern w:val="2"/>
                <w:sz w:val="21"/>
                <w:szCs w:val="21"/>
                <w:highlight w:val="none"/>
                <w:lang w:val="en-US" w:eastAsia="zh-CN" w:bidi="ar-SA"/>
              </w:rPr>
              <w:t>1.</w:t>
            </w:r>
            <w:r>
              <w:rPr>
                <w:rFonts w:hint="eastAsia"/>
                <w:b w:val="0"/>
                <w:bCs/>
                <w:color w:val="auto"/>
                <w:sz w:val="21"/>
                <w:szCs w:val="21"/>
                <w:highlight w:val="none"/>
              </w:rPr>
              <w:t>项目需求分析包含①目前医院污水设备现状及存在的故障分析(清晰的阐述项目的基本情况，对医院污水设备现状及存在的故障分析进行阐述)；②项目现状分析(充分了解本项目的基本情况，对医院污水处理站进水水量及水质、出水水质执行标准、医院污水处理工艺流程进行分析)；③项目重点、难点分析(对本项目运行维护工作中的重点难点进行剖析，并提出应对措施及合理化建议)。</w:t>
            </w:r>
            <w:bookmarkEnd w:id="343"/>
          </w:p>
          <w:p>
            <w:pPr>
              <w:pStyle w:val="254"/>
              <w:numPr>
                <w:ilvl w:val="0"/>
                <w:numId w:val="0"/>
              </w:numPr>
              <w:spacing w:line="240" w:lineRule="auto"/>
              <w:ind w:firstLine="420" w:firstLineChars="200"/>
              <w:jc w:val="left"/>
              <w:outlineLvl w:val="9"/>
              <w:rPr>
                <w:b w:val="0"/>
                <w:bCs/>
                <w:color w:val="auto"/>
                <w:sz w:val="21"/>
                <w:szCs w:val="21"/>
                <w:highlight w:val="none"/>
              </w:rPr>
            </w:pPr>
            <w:bookmarkStart w:id="344" w:name="_Toc27631"/>
            <w:r>
              <w:rPr>
                <w:rFonts w:ascii="宋体" w:hAnsi="宋体" w:eastAsia="宋体" w:cs="Times New Roman"/>
                <w:b w:val="0"/>
                <w:bCs/>
                <w:color w:val="auto"/>
                <w:kern w:val="2"/>
                <w:sz w:val="21"/>
                <w:szCs w:val="21"/>
                <w:highlight w:val="none"/>
                <w:lang w:val="en-US" w:eastAsia="zh-CN" w:bidi="ar-SA"/>
              </w:rPr>
              <w:t>2.</w:t>
            </w:r>
            <w:r>
              <w:rPr>
                <w:b w:val="0"/>
                <w:bCs/>
                <w:color w:val="auto"/>
                <w:sz w:val="21"/>
                <w:szCs w:val="21"/>
                <w:highlight w:val="none"/>
              </w:rPr>
              <w:t>技术服务方案</w:t>
            </w:r>
            <w:r>
              <w:rPr>
                <w:rFonts w:hint="eastAsia"/>
                <w:b w:val="0"/>
                <w:bCs/>
                <w:color w:val="auto"/>
                <w:sz w:val="21"/>
                <w:szCs w:val="21"/>
                <w:highlight w:val="none"/>
              </w:rPr>
              <w:t>包含①运营管理制度(围绕本项目的技术、服务要求，结合项目遵循的技术规范、标准，提出有效的运营管理制度，包含但不限于运营管理监督检查制度、卫生制度、值班记录填写制度、运行报表管理制度、交接班制度、安全文明生产管理制度、医疗废物管理制度等)；②设备设施运营制度及维护方案(围绕本项目的技术、服务要求，结合项目遵循的技术规范、标准，提出有效的设备设施运营制度及维护方案，包含但不限于预处理系统运行与操作规程、二级生化处理系统运行与操作规程、鼓风机运行与操作规程、消毒系统操作规程、仪表安全操作规程、水电工安全操作规程、各处理单元检修规程、进水泵检修规程、各池体检修规程、污泥间检修规程、控制室检修规程、设备检修规程、设备房的维护建议方案、设备定期检修计划、巡检维护方案等)；③污水站运行保障措施(围绕本项目的技术、服务要求，结合项目遵循的技术规范、标准，对环境保护措施、主要危害因素分析、卫生防疫措施、环境监测计划、池体清淤方案进行阐述)。</w:t>
            </w:r>
            <w:bookmarkEnd w:id="344"/>
          </w:p>
          <w:p>
            <w:pPr>
              <w:pStyle w:val="254"/>
              <w:numPr>
                <w:ilvl w:val="0"/>
                <w:numId w:val="0"/>
              </w:numPr>
              <w:spacing w:line="240" w:lineRule="auto"/>
              <w:ind w:firstLine="420" w:firstLineChars="200"/>
              <w:jc w:val="left"/>
              <w:outlineLvl w:val="9"/>
              <w:rPr>
                <w:b w:val="0"/>
                <w:bCs/>
                <w:color w:val="auto"/>
                <w:sz w:val="21"/>
                <w:szCs w:val="21"/>
                <w:highlight w:val="none"/>
              </w:rPr>
            </w:pPr>
            <w:bookmarkStart w:id="345" w:name="_Toc23202"/>
            <w:r>
              <w:rPr>
                <w:rFonts w:ascii="宋体" w:hAnsi="宋体" w:eastAsia="宋体" w:cs="Times New Roman"/>
                <w:b w:val="0"/>
                <w:bCs/>
                <w:color w:val="auto"/>
                <w:kern w:val="2"/>
                <w:sz w:val="21"/>
                <w:szCs w:val="21"/>
                <w:highlight w:val="none"/>
                <w:lang w:val="en-US" w:eastAsia="zh-CN" w:bidi="ar-SA"/>
              </w:rPr>
              <w:t>3.</w:t>
            </w:r>
            <w:r>
              <w:rPr>
                <w:rFonts w:hint="eastAsia"/>
                <w:b w:val="0"/>
                <w:bCs/>
                <w:color w:val="auto"/>
                <w:sz w:val="21"/>
                <w:szCs w:val="21"/>
                <w:highlight w:val="none"/>
              </w:rPr>
              <w:t>项目实施方案包含①人员配置及管控(充分考虑污水处理运行维护工作的稳定性，提出有效的人员管控措施，人员配置到位、分工明确，职责清晰，保障工作的技术力量)；②质量保障措施(充分考虑污水处理运行维护工作及成果有效性，提出有效的质量管理办法、质量保障体系、质量事故处理办法、质量控制目标及控制措施，保障运维工作的各项质量)；③安全保障措施(充分考虑污水处理运行维护工作中的安全防护工作，对安全保障措施、各种环境下的操作规程、突发事件措施及应急响应进行详细阐述，确保污水站运行中的安全)；④培训方案(根据本项目的服务内容及要求，对培训目的及内容、各岗位培训计划、基础知识及技能培训进行阐述)；</w:t>
            </w:r>
            <w:bookmarkEnd w:id="345"/>
            <w:r>
              <w:rPr>
                <w:rFonts w:hint="eastAsia"/>
                <w:b w:val="0"/>
                <w:bCs/>
                <w:color w:val="auto"/>
                <w:sz w:val="21"/>
                <w:szCs w:val="21"/>
                <w:highlight w:val="none"/>
              </w:rPr>
              <w:t>⑤日常运行操作方案(根据本项目的服务内容及要求，对日常工艺运行及管理、运行报表管理、运营水质管理及监测分析措施进行阐述)；⑥应急预案方案（根据本项目情况，对事故预防措施及预警管理体系、应急预案管理制度、进出水水质超标应急预案、其他特殊情况的预判及应急预案进行详细阐述）。</w:t>
            </w:r>
          </w:p>
          <w:p>
            <w:pPr>
              <w:pStyle w:val="254"/>
              <w:numPr>
                <w:ilvl w:val="0"/>
                <w:numId w:val="0"/>
              </w:numPr>
              <w:spacing w:line="240" w:lineRule="auto"/>
              <w:jc w:val="left"/>
              <w:outlineLvl w:val="9"/>
              <w:rPr>
                <w:b w:val="0"/>
                <w:bCs/>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color w:val="auto"/>
                <w:sz w:val="21"/>
                <w:szCs w:val="21"/>
                <w:highlight w:val="none"/>
              </w:rPr>
              <w:t>供应商应当根据本项目实际情况提供真实、客观的证明材料。</w:t>
            </w:r>
          </w:p>
          <w:p>
            <w:pPr>
              <w:pStyle w:val="289"/>
              <w:spacing w:line="240" w:lineRule="auto"/>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color w:val="auto"/>
                <w:sz w:val="21"/>
                <w:szCs w:val="21"/>
                <w:highlight w:val="none"/>
              </w:rPr>
              <w:t>供应商应当保证所提交的所有材料的真实性，若提交虚假材料谋取成交的，将上报同级监管部门依法处理。</w:t>
            </w:r>
          </w:p>
          <w:p>
            <w:pPr>
              <w:pStyle w:val="21"/>
              <w:tabs>
                <w:tab w:val="left" w:pos="0"/>
              </w:tabs>
              <w:adjustRightInd/>
              <w:snapToGrid/>
              <w:spacing w:after="0" w:line="240" w:lineRule="auto"/>
              <w:ind w:firstLine="422"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(3)供应商根据项目的实际需求和具体情况实事求是地编制响应文件，能具体量化，具有可行性及便于高质量履约，不得违反法律、法规规定，不得夸大其词和空口许诺。</w:t>
            </w:r>
          </w:p>
          <w:p>
            <w:pPr>
              <w:pStyle w:val="254"/>
              <w:numPr>
                <w:ilvl w:val="1"/>
                <w:numId w:val="0"/>
              </w:numPr>
              <w:spacing w:line="240" w:lineRule="auto"/>
              <w:ind w:firstLine="422" w:firstLineChars="200"/>
              <w:jc w:val="left"/>
              <w:rPr>
                <w:color w:val="auto"/>
                <w:sz w:val="21"/>
                <w:szCs w:val="21"/>
                <w:highlight w:val="none"/>
              </w:rPr>
            </w:pPr>
            <w:bookmarkStart w:id="346" w:name="_Toc8806"/>
            <w:r>
              <w:rPr>
                <w:rFonts w:hint="eastAsia"/>
                <w:color w:val="auto"/>
                <w:sz w:val="21"/>
                <w:szCs w:val="21"/>
                <w:highlight w:val="none"/>
              </w:rPr>
              <w:t>四、商务要求</w:t>
            </w:r>
            <w:bookmarkEnd w:id="346"/>
          </w:p>
          <w:p>
            <w:pPr>
              <w:tabs>
                <w:tab w:val="left" w:pos="312"/>
              </w:tabs>
              <w:spacing w:line="240" w:lineRule="auto"/>
              <w:jc w:val="left"/>
              <w:outlineLvl w:val="2"/>
              <w:rPr>
                <w:rFonts w:ascii="宋体" w:hAnsi="宋体" w:eastAsia="宋体" w:cstheme="minorEastAsia"/>
                <w:b/>
                <w:bCs/>
                <w:color w:val="auto"/>
                <w:sz w:val="21"/>
                <w:szCs w:val="21"/>
                <w:highlight w:val="none"/>
              </w:rPr>
            </w:pPr>
            <w:bookmarkStart w:id="347" w:name="_Toc23661"/>
            <w:bookmarkStart w:id="348" w:name="_Toc16729"/>
            <w:bookmarkStart w:id="349" w:name="_Toc7593"/>
            <w:bookmarkStart w:id="350" w:name="_Toc32632"/>
            <w:bookmarkStart w:id="351" w:name="_Toc374"/>
            <w:bookmarkStart w:id="352" w:name="_Toc11710"/>
            <w:bookmarkStart w:id="353" w:name="_Toc17232"/>
            <w:bookmarkStart w:id="354" w:name="_Toc32621"/>
            <w:bookmarkStart w:id="355" w:name="_Toc15719"/>
            <w:r>
              <w:rPr>
                <w:rFonts w:ascii="宋体" w:hAnsi="宋体" w:eastAsia="宋体" w:cstheme="minorEastAsia"/>
                <w:b/>
                <w:bCs/>
                <w:color w:val="auto"/>
                <w:sz w:val="21"/>
                <w:szCs w:val="21"/>
                <w:highlight w:val="none"/>
              </w:rPr>
              <w:t>(</w:t>
            </w:r>
            <w:r>
              <w:rPr>
                <w:rFonts w:hint="eastAsia" w:ascii="宋体" w:hAnsi="宋体" w:eastAsia="宋体" w:cstheme="minorEastAsia"/>
                <w:b/>
                <w:bCs/>
                <w:color w:val="auto"/>
                <w:sz w:val="21"/>
                <w:szCs w:val="21"/>
                <w:highlight w:val="none"/>
              </w:rPr>
              <w:t>一</w:t>
            </w:r>
            <w:r>
              <w:rPr>
                <w:rFonts w:ascii="宋体" w:hAnsi="宋体" w:eastAsia="宋体" w:cstheme="minorEastAsia"/>
                <w:b/>
                <w:bCs/>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theme="minorEastAsia"/>
                <w:b/>
                <w:bCs/>
                <w:color w:val="auto"/>
                <w:sz w:val="21"/>
                <w:szCs w:val="21"/>
                <w:highlight w:val="none"/>
              </w:rPr>
              <w:t>履约期限和地点</w:t>
            </w:r>
            <w:bookmarkEnd w:id="347"/>
            <w:bookmarkEnd w:id="348"/>
            <w:bookmarkEnd w:id="349"/>
            <w:bookmarkEnd w:id="350"/>
            <w:bookmarkEnd w:id="351"/>
          </w:p>
          <w:p>
            <w:pPr>
              <w:pStyle w:val="263"/>
              <w:numPr>
                <w:ilvl w:val="4"/>
                <w:numId w:val="0"/>
              </w:numPr>
              <w:tabs>
                <w:tab w:val="left" w:pos="0"/>
              </w:tabs>
              <w:adjustRightInd/>
              <w:snapToGrid/>
              <w:spacing w:before="0" w:after="0" w:line="240" w:lineRule="auto"/>
              <w:ind w:firstLine="420" w:firstLineChars="200"/>
              <w:jc w:val="left"/>
              <w:outlineLvl w:val="9"/>
              <w:rPr>
                <w:rFonts w:ascii="宋体" w:hAnsi="宋体" w:eastAsia="宋体" w:cstheme="minorEastAsia"/>
                <w:b w:val="0"/>
                <w:bCs/>
                <w:color w:val="auto"/>
                <w:sz w:val="21"/>
                <w:szCs w:val="21"/>
                <w:highlight w:val="none"/>
              </w:rPr>
            </w:pPr>
            <w:r>
              <w:rPr>
                <w:rFonts w:hint="eastAsia" w:ascii="宋体" w:hAnsi="宋体" w:eastAsia="宋体" w:cstheme="minorEastAsia"/>
                <w:b w:val="0"/>
                <w:bCs/>
                <w:color w:val="auto"/>
                <w:sz w:val="21"/>
                <w:szCs w:val="21"/>
                <w:highlight w:val="none"/>
              </w:rPr>
              <w:t>1.履约期限：三年，合同一年一签。在服务合同期限内，如无解除合同事由，每一年期满经过履约验收合格后，双方经协商一致，在采购预算保障的前提下，可以续签下一年度服务协议。</w:t>
            </w:r>
          </w:p>
          <w:p>
            <w:pPr>
              <w:pStyle w:val="155"/>
              <w:tabs>
                <w:tab w:val="left" w:pos="420"/>
              </w:tabs>
              <w:spacing w:line="240" w:lineRule="auto"/>
              <w:ind w:left="420" w:leftChars="200"/>
              <w:jc w:val="left"/>
              <w:rPr>
                <w:rFonts w:ascii="宋体" w:hAnsi="宋体" w:cstheme="minorEastAsia"/>
                <w:color w:val="auto"/>
                <w:sz w:val="21"/>
                <w:szCs w:val="21"/>
                <w:highlight w:val="none"/>
              </w:rPr>
            </w:pPr>
            <w:r>
              <w:rPr>
                <w:rFonts w:hint="eastAsia" w:ascii="宋体" w:hAnsi="宋体" w:cstheme="minorEastAsia"/>
                <w:color w:val="auto"/>
                <w:sz w:val="21"/>
                <w:szCs w:val="21"/>
                <w:highlight w:val="none"/>
              </w:rPr>
              <w:t>2.履约地点：高县人民医院。</w:t>
            </w:r>
          </w:p>
          <w:bookmarkEnd w:id="352"/>
          <w:bookmarkEnd w:id="353"/>
          <w:bookmarkEnd w:id="354"/>
          <w:bookmarkEnd w:id="355"/>
          <w:p>
            <w:pPr>
              <w:pStyle w:val="21"/>
              <w:tabs>
                <w:tab w:val="left" w:pos="0"/>
              </w:tabs>
              <w:adjustRightInd/>
              <w:snapToGrid/>
              <w:spacing w:after="0" w:line="240" w:lineRule="auto"/>
              <w:jc w:val="left"/>
              <w:outlineLvl w:val="2"/>
              <w:rPr>
                <w:rFonts w:ascii="宋体" w:cstheme="minorEastAsia"/>
                <w:b/>
                <w:bCs/>
                <w:color w:val="auto"/>
                <w:sz w:val="21"/>
                <w:szCs w:val="21"/>
                <w:highlight w:val="none"/>
              </w:rPr>
            </w:pPr>
            <w:bookmarkStart w:id="356" w:name="_Toc15190"/>
            <w:bookmarkStart w:id="357" w:name="_Toc7006"/>
            <w:bookmarkStart w:id="358" w:name="_Toc16021"/>
            <w:bookmarkStart w:id="359" w:name="_Toc25230"/>
            <w:bookmarkStart w:id="360" w:name="_Toc23759"/>
            <w:bookmarkStart w:id="361" w:name="_Toc6974"/>
            <w:bookmarkStart w:id="362" w:name="_Toc27497"/>
            <w:bookmarkStart w:id="363" w:name="_Toc12739"/>
            <w:bookmarkStart w:id="364" w:name="_Toc9683"/>
            <w:bookmarkStart w:id="365" w:name="_Toc8752_WPSOffice_Level2"/>
            <w:bookmarkStart w:id="366" w:name="_Toc7101"/>
            <w:r>
              <w:rPr>
                <w:rFonts w:hint="eastAsia" w:ascii="宋体" w:cstheme="minorEastAsia"/>
                <w:b/>
                <w:bCs/>
                <w:color w:val="auto"/>
                <w:sz w:val="21"/>
                <w:szCs w:val="21"/>
                <w:highlight w:val="none"/>
              </w:rPr>
              <w:t>(二)★付款方式</w:t>
            </w:r>
            <w:bookmarkEnd w:id="356"/>
            <w:bookmarkEnd w:id="357"/>
          </w:p>
          <w:p>
            <w:pPr>
              <w:pStyle w:val="21"/>
              <w:tabs>
                <w:tab w:val="left" w:pos="0"/>
              </w:tabs>
              <w:adjustRightInd/>
              <w:snapToGrid/>
              <w:spacing w:after="0" w:line="240" w:lineRule="auto"/>
              <w:ind w:firstLine="420" w:firstLineChars="200"/>
              <w:jc w:val="left"/>
              <w:rPr>
                <w:rFonts w:ascii="宋体" w:cstheme="minorEastAsia"/>
                <w:color w:val="auto"/>
                <w:sz w:val="21"/>
                <w:szCs w:val="21"/>
                <w:highlight w:val="none"/>
              </w:rPr>
            </w:pPr>
            <w:r>
              <w:rPr>
                <w:rFonts w:hint="eastAsia" w:ascii="宋体" w:cstheme="minorEastAsia"/>
                <w:color w:val="auto"/>
                <w:sz w:val="21"/>
                <w:szCs w:val="21"/>
                <w:highlight w:val="none"/>
              </w:rPr>
              <w:t>本项目按季度支付合同款项，每季度结束后，达到付款条件之日起30个日历天内，采购人向成交供应商支付运维站点对应金额的25%。</w:t>
            </w:r>
          </w:p>
          <w:p>
            <w:pPr>
              <w:tabs>
                <w:tab w:val="left" w:pos="312"/>
              </w:tabs>
              <w:spacing w:line="240" w:lineRule="auto"/>
              <w:ind w:firstLine="422" w:firstLineChars="200"/>
              <w:jc w:val="left"/>
              <w:rPr>
                <w:rFonts w:ascii="宋体" w:hAnsi="宋体" w:eastAsia="宋体" w:cs="宋体"/>
                <w:color w:val="auto"/>
                <w:sz w:val="21"/>
                <w:szCs w:val="21"/>
                <w:highlight w:val="none"/>
              </w:rPr>
            </w:pPr>
            <w:r>
              <w:rPr>
                <w:rFonts w:hint="eastAsia" w:ascii="宋体" w:hAnsi="宋体" w:eastAsia="宋体" w:cstheme="minorEastAsia"/>
                <w:b/>
                <w:bCs/>
                <w:color w:val="auto"/>
                <w:sz w:val="21"/>
                <w:szCs w:val="21"/>
                <w:highlight w:val="none"/>
              </w:rPr>
              <w:t>考核成绩为90分(含)以上的，按上述付款比例进行全额支付，其余考核等级按项目考核办法进行支付。</w:t>
            </w:r>
          </w:p>
          <w:p>
            <w:pPr>
              <w:tabs>
                <w:tab w:val="left" w:pos="312"/>
              </w:tabs>
              <w:spacing w:line="240" w:lineRule="auto"/>
              <w:ind w:firstLine="420" w:firstLineChars="200"/>
              <w:jc w:val="left"/>
              <w:rPr>
                <w:rFonts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每次付款前，供应商须向采购人出具合法有效完整的增值税发票及凭证资料后进行支付结算，付款方式均采用公对公的银行转账，采购人接受转账的开户信息以合同载明的为准。</w:t>
            </w:r>
            <w:r>
              <w:rPr>
                <w:rFonts w:hint="eastAsia" w:ascii="宋体" w:hAnsi="宋体" w:eastAsia="宋体"/>
                <w:color w:val="auto"/>
                <w:sz w:val="21"/>
                <w:szCs w:val="21"/>
                <w:highlight w:val="none"/>
              </w:rPr>
              <w:t>如因供应商未按照要求提供合法有效的发票导致逾期付款的，不视为采购人违约，采购人不承担任何责任</w:t>
            </w:r>
            <w:r>
              <w:rPr>
                <w:rFonts w:hint="eastAsia" w:ascii="宋体" w:hAnsi="宋体" w:eastAsia="宋体" w:cstheme="minorEastAsia"/>
                <w:color w:val="auto"/>
                <w:sz w:val="21"/>
                <w:szCs w:val="21"/>
                <w:highlight w:val="none"/>
              </w:rPr>
              <w:t>。</w:t>
            </w:r>
          </w:p>
          <w:bookmarkEnd w:id="358"/>
          <w:bookmarkEnd w:id="359"/>
          <w:bookmarkEnd w:id="360"/>
          <w:p>
            <w:pPr>
              <w:tabs>
                <w:tab w:val="left" w:pos="312"/>
              </w:tabs>
              <w:spacing w:line="240" w:lineRule="auto"/>
              <w:ind w:left="420"/>
              <w:jc w:val="left"/>
              <w:outlineLvl w:val="2"/>
              <w:rPr>
                <w:rFonts w:ascii="宋体" w:hAnsi="宋体" w:eastAsia="宋体" w:cstheme="minorEastAsia"/>
                <w:b/>
                <w:bCs/>
                <w:color w:val="auto"/>
                <w:sz w:val="21"/>
                <w:szCs w:val="21"/>
                <w:highlight w:val="none"/>
              </w:rPr>
            </w:pPr>
            <w:bookmarkStart w:id="367" w:name="_Toc32235"/>
            <w:bookmarkStart w:id="368" w:name="_Toc21760"/>
            <w:bookmarkStart w:id="369" w:name="_Toc1554"/>
            <w:bookmarkStart w:id="370" w:name="_Toc21064"/>
            <w:bookmarkStart w:id="371" w:name="_Toc4385"/>
            <w:r>
              <w:rPr>
                <w:rFonts w:ascii="宋体" w:hAnsi="宋体" w:eastAsia="宋体" w:cstheme="minorEastAsia"/>
                <w:b/>
                <w:bCs/>
                <w:color w:val="auto"/>
                <w:sz w:val="21"/>
                <w:szCs w:val="21"/>
                <w:highlight w:val="none"/>
              </w:rPr>
              <w:t>(</w:t>
            </w:r>
            <w:r>
              <w:rPr>
                <w:rFonts w:hint="eastAsia" w:ascii="宋体" w:hAnsi="宋体" w:eastAsia="宋体" w:cstheme="minorEastAsia"/>
                <w:b/>
                <w:bCs/>
                <w:color w:val="auto"/>
                <w:sz w:val="21"/>
                <w:szCs w:val="21"/>
                <w:highlight w:val="none"/>
              </w:rPr>
              <w:t>三</w:t>
            </w:r>
            <w:r>
              <w:rPr>
                <w:rFonts w:ascii="宋体" w:hAnsi="宋体" w:eastAsia="宋体" w:cstheme="minorEastAsia"/>
                <w:b/>
                <w:bCs/>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theme="minorEastAsia"/>
                <w:b/>
                <w:bCs/>
                <w:color w:val="auto"/>
                <w:sz w:val="21"/>
                <w:szCs w:val="21"/>
                <w:highlight w:val="none"/>
              </w:rPr>
              <w:t>保险</w:t>
            </w:r>
            <w:bookmarkEnd w:id="367"/>
            <w:bookmarkEnd w:id="368"/>
            <w:bookmarkEnd w:id="369"/>
            <w:bookmarkEnd w:id="370"/>
            <w:bookmarkEnd w:id="371"/>
          </w:p>
          <w:p>
            <w:pPr>
              <w:pStyle w:val="263"/>
              <w:numPr>
                <w:ilvl w:val="4"/>
                <w:numId w:val="0"/>
              </w:numPr>
              <w:tabs>
                <w:tab w:val="left" w:pos="0"/>
              </w:tabs>
              <w:spacing w:before="0" w:after="0" w:line="240" w:lineRule="auto"/>
              <w:ind w:firstLine="420" w:firstLineChars="200"/>
              <w:jc w:val="left"/>
              <w:outlineLvl w:val="9"/>
              <w:rPr>
                <w:rFonts w:ascii="宋体" w:hAnsi="宋体" w:eastAsia="宋体" w:cstheme="minorEastAsia"/>
                <w:b w:val="0"/>
                <w:color w:val="auto"/>
                <w:kern w:val="2"/>
                <w:sz w:val="21"/>
                <w:szCs w:val="21"/>
                <w:highlight w:val="none"/>
              </w:rPr>
            </w:pPr>
            <w:bookmarkStart w:id="372" w:name="_Toc32286_WPSOffice_Level2"/>
            <w:bookmarkStart w:id="373" w:name="_Toc27313"/>
            <w:r>
              <w:rPr>
                <w:rFonts w:hint="eastAsia" w:ascii="宋体" w:hAnsi="宋体" w:eastAsia="宋体" w:cstheme="minorEastAsia"/>
                <w:b w:val="0"/>
                <w:color w:val="auto"/>
                <w:kern w:val="2"/>
                <w:sz w:val="21"/>
                <w:szCs w:val="21"/>
                <w:highlight w:val="none"/>
              </w:rPr>
              <w:t>1.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w:t>
            </w:r>
          </w:p>
          <w:p>
            <w:pPr>
              <w:pStyle w:val="263"/>
              <w:numPr>
                <w:ilvl w:val="4"/>
                <w:numId w:val="0"/>
              </w:numPr>
              <w:tabs>
                <w:tab w:val="left" w:pos="0"/>
              </w:tabs>
              <w:spacing w:before="0" w:after="0" w:line="240" w:lineRule="auto"/>
              <w:ind w:firstLine="420" w:firstLineChars="200"/>
              <w:jc w:val="left"/>
              <w:outlineLvl w:val="9"/>
              <w:rPr>
                <w:rFonts w:ascii="宋体" w:hAnsi="宋体" w:eastAsia="宋体" w:cstheme="minorEastAsia"/>
                <w:b w:val="0"/>
                <w:color w:val="auto"/>
                <w:kern w:val="2"/>
                <w:sz w:val="21"/>
                <w:szCs w:val="21"/>
                <w:highlight w:val="none"/>
              </w:rPr>
            </w:pPr>
            <w:r>
              <w:rPr>
                <w:rFonts w:hint="eastAsia" w:ascii="宋体" w:hAnsi="宋体" w:eastAsia="宋体" w:cstheme="minorEastAsia"/>
                <w:b w:val="0"/>
                <w:color w:val="auto"/>
                <w:kern w:val="2"/>
                <w:sz w:val="21"/>
                <w:szCs w:val="21"/>
                <w:highlight w:val="none"/>
              </w:rPr>
              <w:t>2.供应商应为本项目提供履约的所有人员按照国家规定购买相关保险。</w:t>
            </w:r>
          </w:p>
          <w:p>
            <w:pPr>
              <w:tabs>
                <w:tab w:val="left" w:pos="312"/>
              </w:tabs>
              <w:spacing w:line="240" w:lineRule="auto"/>
              <w:ind w:left="420"/>
              <w:jc w:val="left"/>
              <w:outlineLvl w:val="2"/>
              <w:rPr>
                <w:rFonts w:ascii="宋体" w:hAnsi="宋体" w:eastAsia="宋体" w:cs="宋体"/>
                <w:b/>
                <w:bCs/>
                <w:color w:val="auto"/>
                <w:sz w:val="21"/>
                <w:szCs w:val="21"/>
                <w:highlight w:val="none"/>
              </w:rPr>
            </w:pPr>
            <w:bookmarkStart w:id="374" w:name="_Toc17739"/>
            <w:bookmarkStart w:id="375" w:name="_Toc24767"/>
            <w:bookmarkStart w:id="376" w:name="_Toc19214"/>
            <w:bookmarkStart w:id="377" w:name="_Toc25922"/>
            <w:bookmarkStart w:id="378" w:name="_Toc30159"/>
            <w:bookmarkStart w:id="379" w:name="_Toc1740024303"/>
            <w:bookmarkStart w:id="380" w:name="_Toc10844"/>
            <w:r>
              <w:rPr>
                <w:rFonts w:hint="eastAsia" w:ascii="宋体" w:hAnsi="宋体" w:eastAsia="宋体" w:cs="宋体"/>
                <w:b/>
                <w:bCs/>
                <w:color w:val="auto"/>
                <w:sz w:val="21"/>
                <w:szCs w:val="21"/>
                <w:highlight w:val="none"/>
              </w:rPr>
              <w:t>(四)违约责任</w:t>
            </w:r>
            <w:bookmarkEnd w:id="374"/>
            <w:bookmarkEnd w:id="375"/>
            <w:bookmarkEnd w:id="376"/>
            <w:bookmarkEnd w:id="377"/>
            <w:bookmarkEnd w:id="378"/>
            <w:bookmarkEnd w:id="379"/>
            <w:bookmarkEnd w:id="380"/>
          </w:p>
          <w:p>
            <w:pPr>
              <w:pStyle w:val="291"/>
              <w:numPr>
                <w:ilvl w:val="0"/>
                <w:numId w:val="0"/>
              </w:numPr>
              <w:adjustRightInd/>
              <w:snapToGrid/>
              <w:spacing w:line="240" w:lineRule="auto"/>
              <w:ind w:firstLine="420" w:firstLineChars="200"/>
              <w:jc w:val="left"/>
              <w:rPr>
                <w:rFonts w:cs="宋体"/>
                <w:color w:val="auto"/>
                <w:sz w:val="21"/>
                <w:szCs w:val="21"/>
                <w:highlight w:val="none"/>
              </w:rPr>
            </w:pPr>
            <w:r>
              <w:rPr>
                <w:rFonts w:hint="eastAsia" w:cs="宋体"/>
                <w:color w:val="auto"/>
                <w:sz w:val="21"/>
                <w:szCs w:val="21"/>
                <w:highlight w:val="none"/>
              </w:rPr>
              <w:t>1.</w:t>
            </w:r>
            <w:r>
              <w:rPr>
                <w:rFonts w:hint="eastAsia" w:cstheme="minorEastAsia"/>
                <w:color w:val="auto"/>
                <w:sz w:val="21"/>
                <w:szCs w:val="21"/>
                <w:highlight w:val="none"/>
              </w:rPr>
              <w:t>供应商</w:t>
            </w:r>
            <w:r>
              <w:rPr>
                <w:rFonts w:hint="eastAsia" w:cs="宋体"/>
                <w:color w:val="auto"/>
                <w:sz w:val="21"/>
                <w:szCs w:val="21"/>
                <w:highlight w:val="none"/>
              </w:rPr>
              <w:t>必须遵守采购合同并执行合同中的各项规定，保证采购合同的正常履行。</w:t>
            </w:r>
          </w:p>
          <w:p>
            <w:pPr>
              <w:pStyle w:val="291"/>
              <w:numPr>
                <w:ilvl w:val="0"/>
                <w:numId w:val="0"/>
              </w:numPr>
              <w:adjustRightInd/>
              <w:snapToGrid/>
              <w:spacing w:line="240" w:lineRule="auto"/>
              <w:ind w:firstLine="420" w:firstLineChars="200"/>
              <w:jc w:val="left"/>
              <w:rPr>
                <w:rFonts w:cs="宋体"/>
                <w:color w:val="auto"/>
                <w:sz w:val="21"/>
                <w:szCs w:val="21"/>
                <w:highlight w:val="none"/>
              </w:rPr>
            </w:pPr>
            <w:r>
              <w:rPr>
                <w:rFonts w:hint="eastAsia" w:cs="宋体"/>
                <w:color w:val="auto"/>
                <w:sz w:val="21"/>
                <w:szCs w:val="21"/>
                <w:highlight w:val="none"/>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pPr>
              <w:pStyle w:val="291"/>
              <w:numPr>
                <w:ilvl w:val="0"/>
                <w:numId w:val="0"/>
              </w:numPr>
              <w:adjustRightInd/>
              <w:snapToGrid/>
              <w:spacing w:line="240" w:lineRule="auto"/>
              <w:ind w:firstLine="420" w:firstLineChars="200"/>
              <w:jc w:val="left"/>
              <w:rPr>
                <w:rFonts w:cs="宋体"/>
                <w:color w:val="auto"/>
                <w:sz w:val="21"/>
                <w:szCs w:val="21"/>
                <w:highlight w:val="none"/>
              </w:rPr>
            </w:pPr>
            <w:r>
              <w:rPr>
                <w:rFonts w:hint="eastAsia" w:cs="宋体"/>
                <w:color w:val="auto"/>
                <w:sz w:val="21"/>
                <w:szCs w:val="21"/>
                <w:highlight w:val="none"/>
              </w:rPr>
              <w:t>3.供应商不能按时提供服务(成果)或逾期提供的而违约的，除应及时提供服务外，应向采购人偿付逾期提供部分服务总额的万分之</w:t>
            </w:r>
            <w:r>
              <w:rPr>
                <w:rFonts w:hint="eastAsia" w:cs="宋体"/>
                <w:color w:val="auto"/>
                <w:sz w:val="21"/>
                <w:szCs w:val="21"/>
                <w:highlight w:val="none"/>
                <w:u w:val="single"/>
              </w:rPr>
              <w:t>五</w:t>
            </w:r>
            <w:r>
              <w:rPr>
                <w:rFonts w:hint="eastAsia" w:cs="宋体"/>
                <w:color w:val="auto"/>
                <w:sz w:val="21"/>
                <w:szCs w:val="21"/>
                <w:highlight w:val="none"/>
              </w:rPr>
              <w:t>/天的违约金；逾期超过15天，采购人有权终止合同，供应商则应按合同总价的百分之</w:t>
            </w:r>
            <w:r>
              <w:rPr>
                <w:rFonts w:hint="eastAsia" w:cs="宋体"/>
                <w:color w:val="auto"/>
                <w:sz w:val="21"/>
                <w:szCs w:val="21"/>
                <w:highlight w:val="none"/>
                <w:u w:val="single"/>
              </w:rPr>
              <w:t>十</w:t>
            </w:r>
            <w:r>
              <w:rPr>
                <w:rFonts w:hint="eastAsia" w:cs="宋体"/>
                <w:color w:val="auto"/>
                <w:sz w:val="21"/>
                <w:szCs w:val="21"/>
                <w:highlight w:val="none"/>
              </w:rPr>
              <w:t>的款额向采购人偿付违约金，并须全额退还采购人已经付给供应商的服务费及其利息。</w:t>
            </w:r>
          </w:p>
          <w:p>
            <w:pPr>
              <w:pStyle w:val="291"/>
              <w:numPr>
                <w:ilvl w:val="0"/>
                <w:numId w:val="0"/>
              </w:numPr>
              <w:adjustRightInd/>
              <w:snapToGrid/>
              <w:spacing w:line="240" w:lineRule="auto"/>
              <w:ind w:firstLine="420" w:firstLineChars="200"/>
              <w:jc w:val="left"/>
              <w:rPr>
                <w:rFonts w:cs="宋体"/>
                <w:color w:val="auto"/>
                <w:sz w:val="21"/>
                <w:szCs w:val="21"/>
                <w:highlight w:val="none"/>
              </w:rPr>
            </w:pPr>
            <w:r>
              <w:rPr>
                <w:rFonts w:hint="eastAsia" w:cs="宋体"/>
                <w:color w:val="auto"/>
                <w:sz w:val="21"/>
                <w:szCs w:val="21"/>
                <w:highlight w:val="none"/>
              </w:rPr>
              <w:t>4.供应商在履约过程中，服务经采购人考核不合格的，采购人有权要求供应商整改，供应商三次整改仍不符合要求的，采购人有权终止合同。</w:t>
            </w:r>
          </w:p>
          <w:p>
            <w:pPr>
              <w:tabs>
                <w:tab w:val="left" w:pos="312"/>
              </w:tabs>
              <w:spacing w:line="240" w:lineRule="auto"/>
              <w:ind w:firstLine="420" w:firstLineChars="200"/>
              <w:jc w:val="left"/>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pPr>
              <w:tabs>
                <w:tab w:val="left" w:pos="312"/>
              </w:tabs>
              <w:spacing w:line="240" w:lineRule="auto"/>
              <w:ind w:left="420"/>
              <w:jc w:val="left"/>
              <w:outlineLvl w:val="2"/>
              <w:rPr>
                <w:rFonts w:cs="宋体"/>
                <w:b/>
                <w:bCs/>
                <w:color w:val="auto"/>
                <w:sz w:val="21"/>
                <w:szCs w:val="21"/>
                <w:highlight w:val="none"/>
              </w:rPr>
            </w:pPr>
            <w:bookmarkStart w:id="381" w:name="_Toc156155675"/>
            <w:bookmarkStart w:id="382" w:name="_Toc11458"/>
            <w:bookmarkStart w:id="383" w:name="_Toc20500"/>
            <w:bookmarkStart w:id="384" w:name="_Toc31567"/>
            <w:bookmarkStart w:id="385" w:name="_Toc17914"/>
            <w:bookmarkStart w:id="386" w:name="_Toc8957"/>
            <w:bookmarkStart w:id="387" w:name="_Toc15806"/>
            <w:r>
              <w:rPr>
                <w:rFonts w:hint="eastAsia" w:cs="宋体"/>
                <w:b/>
                <w:bCs/>
                <w:color w:val="auto"/>
                <w:sz w:val="21"/>
                <w:szCs w:val="21"/>
                <w:highlight w:val="none"/>
              </w:rPr>
              <w:t>(五)解除合同</w:t>
            </w:r>
            <w:bookmarkEnd w:id="381"/>
            <w:bookmarkEnd w:id="382"/>
            <w:bookmarkEnd w:id="383"/>
            <w:bookmarkEnd w:id="384"/>
            <w:bookmarkEnd w:id="385"/>
            <w:bookmarkEnd w:id="386"/>
            <w:bookmarkEnd w:id="387"/>
          </w:p>
          <w:p>
            <w:pPr>
              <w:tabs>
                <w:tab w:val="left" w:pos="312"/>
              </w:tabs>
              <w:spacing w:line="240" w:lineRule="auto"/>
              <w:ind w:left="420"/>
              <w:jc w:val="left"/>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有下列情形之一的，当事人可以解除合同：</w:t>
            </w:r>
          </w:p>
          <w:p>
            <w:pPr>
              <w:tabs>
                <w:tab w:val="left" w:pos="312"/>
              </w:tabs>
              <w:spacing w:line="240" w:lineRule="auto"/>
              <w:ind w:firstLine="420" w:firstLineChars="200"/>
              <w:jc w:val="left"/>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1.因不可抗力致使不能实现合同目的(由于非供应商或采购人原因，致使合同实质性条款无法实现的)；</w:t>
            </w:r>
          </w:p>
          <w:p>
            <w:pPr>
              <w:tabs>
                <w:tab w:val="left" w:pos="312"/>
              </w:tabs>
              <w:spacing w:line="240" w:lineRule="auto"/>
              <w:ind w:firstLine="420" w:firstLineChars="200"/>
              <w:jc w:val="left"/>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2.当事人一方迟延履行主要债务，经催告后在合理期限内仍未履行；</w:t>
            </w:r>
          </w:p>
          <w:p>
            <w:pPr>
              <w:tabs>
                <w:tab w:val="left" w:pos="312"/>
              </w:tabs>
              <w:spacing w:line="240" w:lineRule="auto"/>
              <w:ind w:firstLine="420" w:firstLineChars="200"/>
              <w:jc w:val="left"/>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3.当事人一方迟延履行债务或者有其他违约行为致使不能实现合同目的；</w:t>
            </w:r>
          </w:p>
          <w:p>
            <w:pPr>
              <w:tabs>
                <w:tab w:val="left" w:pos="312"/>
              </w:tabs>
              <w:spacing w:line="240" w:lineRule="auto"/>
              <w:ind w:firstLine="420" w:firstLineChars="200"/>
              <w:jc w:val="left"/>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4.本合同约定的其他情形；</w:t>
            </w:r>
          </w:p>
          <w:p>
            <w:pPr>
              <w:tabs>
                <w:tab w:val="left" w:pos="312"/>
              </w:tabs>
              <w:spacing w:line="240" w:lineRule="auto"/>
              <w:ind w:firstLine="420" w:firstLineChars="200"/>
              <w:jc w:val="left"/>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5.法律规定的其他情形。</w:t>
            </w:r>
          </w:p>
          <w:p>
            <w:pPr>
              <w:tabs>
                <w:tab w:val="left" w:pos="312"/>
              </w:tabs>
              <w:spacing w:line="240" w:lineRule="auto"/>
              <w:ind w:left="420"/>
              <w:jc w:val="left"/>
              <w:outlineLvl w:val="2"/>
              <w:rPr>
                <w:rFonts w:ascii="宋体" w:hAnsi="宋体" w:eastAsia="宋体" w:cs="宋体"/>
                <w:snapToGrid w:val="0"/>
                <w:color w:val="auto"/>
                <w:sz w:val="21"/>
                <w:szCs w:val="21"/>
                <w:highlight w:val="none"/>
              </w:rPr>
            </w:pPr>
            <w:bookmarkStart w:id="388" w:name="_Toc22453"/>
            <w:bookmarkStart w:id="389" w:name="_Toc8771"/>
            <w:bookmarkStart w:id="390" w:name="_Toc10234"/>
            <w:bookmarkStart w:id="391" w:name="_Toc283413091"/>
            <w:bookmarkStart w:id="392" w:name="_Toc10611"/>
            <w:bookmarkStart w:id="393" w:name="_Toc15561"/>
            <w:bookmarkStart w:id="394" w:name="_Toc23596"/>
            <w:r>
              <w:rPr>
                <w:rFonts w:hint="eastAsia" w:ascii="宋体" w:hAnsi="宋体" w:eastAsia="宋体" w:cs="宋体"/>
                <w:snapToGrid w:val="0"/>
                <w:color w:val="auto"/>
                <w:sz w:val="21"/>
                <w:szCs w:val="21"/>
                <w:highlight w:val="none"/>
              </w:rPr>
              <w:t>(六)解决争议的方法</w:t>
            </w:r>
            <w:bookmarkEnd w:id="388"/>
            <w:bookmarkEnd w:id="389"/>
            <w:bookmarkEnd w:id="390"/>
            <w:bookmarkEnd w:id="391"/>
            <w:bookmarkEnd w:id="392"/>
            <w:bookmarkEnd w:id="393"/>
            <w:bookmarkEnd w:id="394"/>
          </w:p>
          <w:p>
            <w:pPr>
              <w:tabs>
                <w:tab w:val="left" w:pos="312"/>
              </w:tabs>
              <w:spacing w:line="240" w:lineRule="auto"/>
              <w:ind w:firstLine="420" w:firstLineChars="200"/>
              <w:jc w:val="left"/>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合同履行期间,若双方发生争议，可协商或由有关部门调解解决，协商或调解不成的，向采购人所在地有管辖权的人民法院起诉。</w:t>
            </w:r>
          </w:p>
          <w:p>
            <w:pPr>
              <w:pStyle w:val="283"/>
              <w:numPr>
                <w:ilvl w:val="2"/>
                <w:numId w:val="0"/>
              </w:numPr>
              <w:tabs>
                <w:tab w:val="left" w:pos="0"/>
                <w:tab w:val="left" w:pos="360"/>
              </w:tabs>
              <w:spacing w:line="240" w:lineRule="auto"/>
              <w:ind w:firstLine="422" w:firstLineChars="200"/>
              <w:jc w:val="left"/>
              <w:rPr>
                <w:color w:val="auto"/>
                <w:sz w:val="21"/>
                <w:szCs w:val="21"/>
                <w:highlight w:val="none"/>
              </w:rPr>
            </w:pPr>
            <w:bookmarkStart w:id="395" w:name="_Toc31707"/>
            <w:r>
              <w:rPr>
                <w:rFonts w:hint="eastAsia" w:cs="宋体"/>
                <w:color w:val="auto"/>
                <w:sz w:val="21"/>
                <w:szCs w:val="21"/>
                <w:highlight w:val="none"/>
              </w:rPr>
              <w:t>(七)</w:t>
            </w:r>
            <w:r>
              <w:rPr>
                <w:rFonts w:hint="eastAsia" w:cs="宋体"/>
                <w:bCs/>
                <w:color w:val="auto"/>
                <w:sz w:val="21"/>
                <w:szCs w:val="21"/>
                <w:highlight w:val="none"/>
              </w:rPr>
              <w:t>★</w:t>
            </w:r>
            <w:r>
              <w:rPr>
                <w:rFonts w:hint="eastAsia"/>
                <w:color w:val="auto"/>
                <w:sz w:val="21"/>
                <w:szCs w:val="21"/>
                <w:highlight w:val="none"/>
              </w:rPr>
              <w:t>验收</w:t>
            </w:r>
            <w:bookmarkEnd w:id="395"/>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1.验收组织方式：自行验收；</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2.是否邀请本项目其他供应商：否；</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3.是否邀请专家：否；</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4.是否邀请服务对象：否；</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5.是否邀请第三方检测机构：否；</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6.验收程序：分段/分期验收；</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7.验收时间：供应商提出验收申请之日起30日内组织验收。</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8.技术验收内容：</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包括采购内容、具体技术参数指标(技术服务要求)、商务条件、后续服务等涉及本项目服务质量的所有内容。</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9.商务验收内容：</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9.1验收时如发现所提供的服务不符合标准及合同规定之情形者，采购人应做出详尽的现场记录，或由采购双方签署备忘录，此现场记录或备忘录可用作补充、缺失和整改的有效证据，由此产生的时间延误与有关费用由供应商承担，验收期限相应顺延；</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9.2如验收合格，双方签署验收报告；</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9.3项目验收结果合格的，供应商凭《验收报告》办理相关手续；验收不合格且拒不整改的，将不予支付采购资金，还可能上报本项目同级财政部门按照政府采购法律法规等有关规定给予行政处罚；</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10.验收标准：</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按国家有关规定以及采购文件的质量要求和技术指标(包括每一项技术和商务要求的履约情况)、供应商的投标文件及承诺与本合同约定标准进行验收；采购双方如对质量要求和技术指标的约定标准有相互抵触或异议的事项，由采购人在国家有关规定、采购文件、投标文件及承诺与采购合同约定中按质量要求和技术指标比较优胜的原则确定该项的约定标准进行验收；</w:t>
            </w:r>
          </w:p>
          <w:p>
            <w:pPr>
              <w:pStyle w:val="158"/>
              <w:numPr>
                <w:ilvl w:val="3"/>
                <w:numId w:val="0"/>
              </w:numPr>
              <w:spacing w:before="156" w:after="156" w:line="240" w:lineRule="auto"/>
              <w:ind w:firstLine="420" w:firstLineChars="200"/>
              <w:jc w:val="left"/>
              <w:rPr>
                <w:rFonts w:cs="宋体"/>
                <w:color w:val="auto"/>
                <w:sz w:val="21"/>
                <w:szCs w:val="21"/>
                <w:highlight w:val="none"/>
              </w:rPr>
            </w:pPr>
            <w:r>
              <w:rPr>
                <w:rFonts w:hint="eastAsia" w:cs="宋体"/>
                <w:color w:val="auto"/>
                <w:sz w:val="21"/>
                <w:szCs w:val="21"/>
                <w:highlight w:val="none"/>
              </w:rPr>
              <w:t>11.履约验收其他事项：</w:t>
            </w:r>
          </w:p>
          <w:p>
            <w:pPr>
              <w:pStyle w:val="158"/>
              <w:numPr>
                <w:ilvl w:val="3"/>
                <w:numId w:val="0"/>
              </w:numPr>
              <w:spacing w:before="156" w:after="156" w:line="240" w:lineRule="auto"/>
              <w:ind w:firstLine="420" w:firstLineChars="200"/>
              <w:jc w:val="left"/>
              <w:rPr>
                <w:color w:val="auto"/>
                <w:sz w:val="21"/>
                <w:szCs w:val="21"/>
                <w:highlight w:val="none"/>
              </w:rPr>
            </w:pPr>
            <w:r>
              <w:rPr>
                <w:rFonts w:hint="eastAsia" w:cs="宋体"/>
                <w:color w:val="auto"/>
                <w:sz w:val="21"/>
                <w:szCs w:val="21"/>
                <w:highlight w:val="none"/>
              </w:rPr>
              <w:t>其他未尽事宜应严格按照《财政部关于进一步加强政府采购需求和履约验收管理的指导意见》(财库〔2016〕205号)《政府采购需求管理办法》(财库〔2021〕22号)及招标文件相关规定组织验收。</w:t>
            </w:r>
          </w:p>
          <w:p>
            <w:pPr>
              <w:tabs>
                <w:tab w:val="left" w:pos="312"/>
              </w:tabs>
              <w:spacing w:line="240" w:lineRule="auto"/>
              <w:ind w:left="420"/>
              <w:jc w:val="left"/>
              <w:outlineLvl w:val="2"/>
              <w:rPr>
                <w:rFonts w:asciiTheme="minorEastAsia" w:hAnsiTheme="minorEastAsia" w:cstheme="minorEastAsia"/>
                <w:b/>
                <w:bCs/>
                <w:color w:val="auto"/>
                <w:sz w:val="21"/>
                <w:szCs w:val="21"/>
                <w:highlight w:val="none"/>
              </w:rPr>
            </w:pPr>
            <w:bookmarkStart w:id="396" w:name="_Toc27287"/>
            <w:bookmarkStart w:id="397" w:name="_Toc19286"/>
            <w:bookmarkStart w:id="398" w:name="_Toc27106"/>
            <w:bookmarkStart w:id="399" w:name="_Toc22414"/>
            <w:bookmarkStart w:id="400" w:name="_Toc17165"/>
            <w:r>
              <w:rPr>
                <w:rFonts w:asciiTheme="minorEastAsia" w:hAnsi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rPr>
              <w:t>八</w:t>
            </w:r>
            <w:r>
              <w:rPr>
                <w:rFonts w:asciiTheme="minorEastAsia" w:hAnsiTheme="minorEastAsia" w:cstheme="minorEastAsia"/>
                <w:b/>
                <w:bCs/>
                <w:color w:val="auto"/>
                <w:sz w:val="21"/>
                <w:szCs w:val="21"/>
                <w:highlight w:val="none"/>
              </w:rPr>
              <w:t>)</w:t>
            </w:r>
            <w:r>
              <w:rPr>
                <w:rFonts w:hint="eastAsia" w:cs="宋体"/>
                <w:b/>
                <w:bCs/>
                <w:color w:val="auto"/>
                <w:sz w:val="21"/>
                <w:szCs w:val="21"/>
                <w:highlight w:val="none"/>
              </w:rPr>
              <w:t>★</w:t>
            </w:r>
            <w:r>
              <w:rPr>
                <w:rFonts w:hint="eastAsia" w:asciiTheme="minorEastAsia" w:hAnsiTheme="minorEastAsia" w:cstheme="minorEastAsia"/>
                <w:b/>
                <w:bCs/>
                <w:color w:val="auto"/>
                <w:sz w:val="21"/>
                <w:szCs w:val="21"/>
                <w:highlight w:val="none"/>
              </w:rPr>
              <w:t>其他要求</w:t>
            </w:r>
            <w:bookmarkEnd w:id="372"/>
            <w:bookmarkEnd w:id="373"/>
            <w:bookmarkEnd w:id="396"/>
            <w:bookmarkEnd w:id="397"/>
            <w:bookmarkEnd w:id="398"/>
            <w:bookmarkEnd w:id="399"/>
            <w:bookmarkEnd w:id="400"/>
          </w:p>
          <w:bookmarkEnd w:id="361"/>
          <w:bookmarkEnd w:id="362"/>
          <w:bookmarkEnd w:id="363"/>
          <w:bookmarkEnd w:id="364"/>
          <w:bookmarkEnd w:id="365"/>
          <w:bookmarkEnd w:id="366"/>
          <w:p>
            <w:pPr>
              <w:pStyle w:val="155"/>
              <w:numPr>
                <w:ilvl w:val="0"/>
                <w:numId w:val="10"/>
              </w:numPr>
              <w:spacing w:line="240" w:lineRule="auto"/>
              <w:ind w:firstLine="420" w:firstLineChars="20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政府采购合同签订时间及要求：供应商自成交通知书发出之日起30日内与采购人签订政府采购合同。供应商在签订采购合同时，应向采购人提供截止合同签订之日的行贿犯罪查询记录(包含供应商名称、法定代表人、主要负责人、签订合同的授权代表)，以及授权代表在职和社保证明，未提供的采购人有权拒绝签订采购合同。</w:t>
            </w:r>
          </w:p>
          <w:p>
            <w:pPr>
              <w:pStyle w:val="155"/>
              <w:numPr>
                <w:ilvl w:val="0"/>
                <w:numId w:val="10"/>
              </w:numPr>
              <w:spacing w:line="240" w:lineRule="auto"/>
              <w:ind w:firstLine="420" w:firstLineChars="20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应严格执行《中华人民共和国民法典》《中华人民共和国劳动合同法》及项目所在地最低工资标准等相关法律、法规并依法与服务人员签订劳动合同，并办理各种用工手续，如因用工不当，给采购人及服务人员造成的损失由供应商承担(供应商应在响应文件中单独提供承诺函进行响应，格式自拟</w:t>
            </w:r>
            <w:r>
              <w:rPr>
                <w:rFonts w:ascii="宋体" w:hAnsi="宋体" w:cs="宋体"/>
                <w:color w:val="auto"/>
                <w:kern w:val="2"/>
                <w:sz w:val="21"/>
                <w:szCs w:val="21"/>
                <w:highlight w:val="none"/>
              </w:rPr>
              <w:t>)。</w:t>
            </w:r>
          </w:p>
          <w:p>
            <w:pPr>
              <w:pStyle w:val="155"/>
              <w:numPr>
                <w:ilvl w:val="0"/>
                <w:numId w:val="10"/>
              </w:numPr>
              <w:spacing w:line="240" w:lineRule="auto"/>
              <w:ind w:firstLine="420" w:firstLineChars="20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w:t>
            </w:r>
            <w:r>
              <w:rPr>
                <w:rFonts w:ascii="宋体" w:hAnsi="宋体" w:cs="宋体"/>
                <w:color w:val="auto"/>
                <w:kern w:val="2"/>
                <w:sz w:val="21"/>
                <w:szCs w:val="21"/>
                <w:highlight w:val="none"/>
              </w:rPr>
              <w:t>服务从业人员在服务期间发生伤亡事故，或在服务过程中造成第三人伤亡的，责任由</w:t>
            </w:r>
            <w:r>
              <w:rPr>
                <w:rFonts w:hint="eastAsia" w:ascii="宋体" w:hAnsi="宋体" w:cs="宋体"/>
                <w:color w:val="auto"/>
                <w:kern w:val="2"/>
                <w:sz w:val="21"/>
                <w:szCs w:val="21"/>
                <w:highlight w:val="none"/>
              </w:rPr>
              <w:t>供应商</w:t>
            </w:r>
            <w:r>
              <w:rPr>
                <w:rFonts w:ascii="宋体" w:hAnsi="宋体" w:cs="宋体"/>
                <w:color w:val="auto"/>
                <w:kern w:val="2"/>
                <w:sz w:val="21"/>
                <w:szCs w:val="21"/>
                <w:highlight w:val="none"/>
              </w:rPr>
              <w:t>承担(</w:t>
            </w:r>
            <w:r>
              <w:rPr>
                <w:rFonts w:hint="eastAsia" w:ascii="宋体" w:hAnsi="宋体" w:cs="宋体"/>
                <w:color w:val="auto"/>
                <w:kern w:val="2"/>
                <w:sz w:val="21"/>
                <w:szCs w:val="21"/>
                <w:highlight w:val="none"/>
              </w:rPr>
              <w:t>供应商应在响应文件中单独提供承诺函进行响应，格式自拟</w:t>
            </w:r>
            <w:r>
              <w:rPr>
                <w:rFonts w:ascii="宋体" w:hAnsi="宋体" w:cs="宋体"/>
                <w:color w:val="auto"/>
                <w:kern w:val="2"/>
                <w:sz w:val="21"/>
                <w:szCs w:val="21"/>
                <w:highlight w:val="none"/>
              </w:rPr>
              <w:t>)。</w:t>
            </w:r>
          </w:p>
          <w:p>
            <w:pPr>
              <w:pStyle w:val="17"/>
              <w:numPr>
                <w:ilvl w:val="0"/>
                <w:numId w:val="0"/>
              </w:numPr>
              <w:spacing w:line="240" w:lineRule="auto"/>
              <w:jc w:val="left"/>
              <w:rPr>
                <w:rFonts w:hint="default" w:eastAsia="宋体"/>
                <w:color w:val="auto"/>
                <w:highlight w:val="none"/>
                <w:lang w:val="en-US" w:eastAsia="zh-CN"/>
              </w:rPr>
            </w:pPr>
            <w:r>
              <w:rPr>
                <w:rFonts w:hint="eastAsia" w:cs="宋体"/>
                <w:color w:val="auto"/>
                <w:sz w:val="21"/>
                <w:szCs w:val="21"/>
                <w:highlight w:val="none"/>
              </w:rPr>
              <w:t>4.本项目采购过程和合同履行过程中的风险严格按照采购人的风险控制管理要求执行。</w:t>
            </w:r>
            <w:r>
              <w:rPr>
                <w:rFonts w:hint="eastAsia"/>
                <w:color w:val="auto"/>
                <w:sz w:val="21"/>
                <w:szCs w:val="21"/>
                <w:highlight w:val="none"/>
                <w:lang w:val="en-US" w:eastAsia="zh-CN"/>
              </w:rPr>
              <w:t xml:space="preserve"> </w:t>
            </w:r>
          </w:p>
        </w:tc>
      </w:tr>
    </w:tbl>
    <w:p>
      <w:pPr>
        <w:rPr>
          <w:rFonts w:ascii="Arial" w:hAnsi="Arial" w:eastAsia="Arial" w:cs="Arial"/>
          <w:color w:val="auto"/>
          <w:sz w:val="21"/>
          <w:szCs w:val="21"/>
          <w:highlight w:val="none"/>
        </w:rPr>
        <w:sectPr>
          <w:footerReference r:id="rId6" w:type="default"/>
          <w:type w:val="continuous"/>
          <w:pgSz w:w="11900" w:h="16840"/>
          <w:pgMar w:top="911" w:right="671" w:bottom="276" w:left="666" w:header="0" w:footer="0" w:gutter="0"/>
          <w:pgNumType w:fmt="decimal"/>
          <w:cols w:space="720" w:num="1"/>
        </w:sectPr>
      </w:pPr>
    </w:p>
    <w:p>
      <w:pPr>
        <w:pStyle w:val="2"/>
        <w:jc w:val="center"/>
        <w:rPr>
          <w:color w:val="auto"/>
          <w:sz w:val="36"/>
          <w:szCs w:val="36"/>
          <w:highlight w:val="none"/>
        </w:rPr>
      </w:pPr>
      <w:r>
        <w:rPr>
          <w:rFonts w:hint="eastAsia"/>
          <w:color w:val="auto"/>
          <w:sz w:val="36"/>
          <w:szCs w:val="36"/>
          <w:highlight w:val="none"/>
        </w:rPr>
        <w:t>第七章  评标办法</w:t>
      </w:r>
      <w:bookmarkEnd w:id="313"/>
      <w:bookmarkEnd w:id="314"/>
      <w:bookmarkEnd w:id="315"/>
      <w:bookmarkEnd w:id="316"/>
      <w:bookmarkEnd w:id="318"/>
      <w:bookmarkEnd w:id="319"/>
      <w:bookmarkEnd w:id="320"/>
      <w:bookmarkStart w:id="401" w:name="_Hlt101846155"/>
      <w:bookmarkEnd w:id="401"/>
      <w:bookmarkStart w:id="402" w:name="_Toc183582280"/>
      <w:bookmarkStart w:id="403" w:name="_Toc183682415"/>
      <w:bookmarkStart w:id="404" w:name="_Toc217446097"/>
      <w:bookmarkStart w:id="405" w:name="_Toc208849007"/>
    </w:p>
    <w:bookmarkEnd w:id="402"/>
    <w:bookmarkEnd w:id="403"/>
    <w:bookmarkEnd w:id="404"/>
    <w:bookmarkEnd w:id="405"/>
    <w:p>
      <w:pPr>
        <w:spacing w:line="360" w:lineRule="auto"/>
        <w:outlineLvl w:val="1"/>
        <w:rPr>
          <w:rFonts w:ascii="宋体" w:hAnsi="宋体" w:cs="宋体"/>
          <w:b/>
          <w:color w:val="auto"/>
          <w:sz w:val="24"/>
          <w:highlight w:val="none"/>
        </w:rPr>
      </w:pPr>
      <w:bookmarkStart w:id="406" w:name="_Toc217446104"/>
      <w:bookmarkStart w:id="407" w:name="_Toc183582287"/>
      <w:bookmarkStart w:id="408" w:name="_Toc183682422"/>
      <w:r>
        <w:rPr>
          <w:rFonts w:hint="eastAsia" w:ascii="宋体" w:hAnsi="宋体" w:cs="宋体"/>
          <w:b/>
          <w:color w:val="auto"/>
          <w:sz w:val="24"/>
          <w:highlight w:val="none"/>
        </w:rPr>
        <w:t>1. 总则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根据《中华人民共和国政府采购法》《中华人民共和国政府采购法实施条例》《政府采购货物和服务招标投标管理办法》等法律制度，结合采购项目特点制定本评标办法。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公开招标采购项目开标结束后，采购人或者采购代理机构应当依法对投标人的资格进行审查。依据法律法规和本招标文件的规定，对投标文件是否按照规定要求提供资格性证明材料，以确定投标人是否具备投标资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1.3合格投标人不足三家的，不得评标。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1.4评标工作由采购代理机构负责组织，具体评标事务由采购代理机构依法组建的评标委员会负责。评标委员会由采购人代表和有关技术、经济等方面的专家共5人组成。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1.5评标工作应遵循公平、公正、科学及择优的原则，并以相同的评标程序和标准对待所有的投标人。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评标委员会按照招标文件规定的评标方法和标准进行评标，并独立履行下列职责：</w:t>
      </w:r>
    </w:p>
    <w:p>
      <w:pPr>
        <w:spacing w:line="360" w:lineRule="auto"/>
        <w:ind w:firstLine="480" w:firstLineChars="200"/>
        <w:rPr>
          <w:rFonts w:ascii="宋体" w:hAnsi="宋体" w:cs="宋体"/>
          <w:color w:val="auto"/>
          <w:sz w:val="24"/>
          <w:highlight w:val="none"/>
        </w:rPr>
      </w:pPr>
      <w:bookmarkStart w:id="409" w:name="_Toc217446098"/>
      <w:r>
        <w:rPr>
          <w:rFonts w:hint="eastAsia" w:ascii="宋体" w:hAnsi="宋体" w:cs="宋体"/>
          <w:color w:val="auto"/>
          <w:sz w:val="24"/>
          <w:highlight w:val="none"/>
        </w:rPr>
        <w:t>（1）熟悉和理解招标文件；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（2）审查供应商（已通过资格审查）的投标文件是否满足招标文件要求，并作出评价；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（3）根据需要要求招标采购单位对招标文件作出解释；根据需要要求投标人对投标文件有关事项作出澄清、说明或者更正；</w:t>
      </w:r>
    </w:p>
    <w:p>
      <w:pPr>
        <w:spacing w:line="360" w:lineRule="auto"/>
        <w:ind w:firstLine="480" w:firstLineChars="200"/>
        <w:rPr>
          <w:rFonts w:ascii="宋体" w:hAnsi="宋体" w:cs="宋体"/>
          <w:color w:val="000000"/>
          <w:sz w:val="24"/>
        </w:rPr>
      </w:pPr>
      <w:r>
        <w:rPr>
          <w:rFonts w:hint="eastAsia" w:ascii="宋体" w:hAnsi="宋体" w:cs="宋体"/>
          <w:color w:val="auto"/>
          <w:sz w:val="24"/>
          <w:highlight w:val="none"/>
        </w:rPr>
        <w:t>（4）推荐中标候选供</w:t>
      </w:r>
      <w:r>
        <w:rPr>
          <w:rFonts w:hint="eastAsia" w:ascii="宋体" w:hAnsi="宋体" w:cs="宋体"/>
          <w:color w:val="000000"/>
          <w:sz w:val="24"/>
        </w:rPr>
        <w:t>应商，或者受采购人委托确定中标人；</w:t>
      </w:r>
      <w:bookmarkStart w:id="429" w:name="_GoBack"/>
      <w:bookmarkEnd w:id="429"/>
    </w:p>
    <w:p>
      <w:pPr>
        <w:spacing w:line="360" w:lineRule="auto"/>
        <w:ind w:firstLine="480" w:firstLineChars="200"/>
        <w:rPr>
          <w:rFonts w:ascii="宋体" w:hAnsi="宋体" w:cs="宋体"/>
          <w:color w:val="000000"/>
          <w:sz w:val="24"/>
        </w:rPr>
      </w:pPr>
      <w:r>
        <w:rPr>
          <w:rFonts w:hint="eastAsia" w:ascii="宋体" w:hAnsi="宋体" w:cs="宋体"/>
          <w:color w:val="000000"/>
          <w:sz w:val="24"/>
        </w:rPr>
        <w:t>（5）起草评标报告并进行签署；</w:t>
      </w:r>
    </w:p>
    <w:p>
      <w:pPr>
        <w:spacing w:line="360" w:lineRule="auto"/>
        <w:ind w:firstLine="480" w:firstLineChars="200"/>
        <w:rPr>
          <w:rFonts w:ascii="宋体" w:hAnsi="宋体" w:cs="宋体"/>
          <w:color w:val="000000"/>
          <w:sz w:val="24"/>
        </w:rPr>
      </w:pPr>
      <w:r>
        <w:rPr>
          <w:rFonts w:hint="eastAsia" w:ascii="宋体" w:hAnsi="宋体" w:cs="宋体"/>
          <w:color w:val="000000"/>
          <w:sz w:val="24"/>
        </w:rPr>
        <w:t>（6）向招标采购单位、财政部门或者其他监督部门报告非法干预评标工作的行为；</w:t>
      </w:r>
    </w:p>
    <w:p>
      <w:pPr>
        <w:spacing w:line="360" w:lineRule="auto"/>
        <w:ind w:firstLine="480" w:firstLineChars="200"/>
        <w:rPr>
          <w:rFonts w:ascii="宋体" w:hAnsi="宋体" w:cs="宋体"/>
          <w:color w:val="000000"/>
          <w:sz w:val="24"/>
        </w:rPr>
      </w:pPr>
      <w:r>
        <w:rPr>
          <w:rFonts w:hint="eastAsia" w:ascii="宋体" w:hAnsi="宋体" w:cs="宋体"/>
          <w:color w:val="000000"/>
          <w:sz w:val="24"/>
        </w:rPr>
        <w:t>（7）法律、法规和规章规定的其他职责。</w:t>
      </w:r>
    </w:p>
    <w:p>
      <w:pPr>
        <w:spacing w:line="360" w:lineRule="auto"/>
        <w:ind w:firstLine="480" w:firstLineChars="200"/>
        <w:rPr>
          <w:rFonts w:ascii="宋体" w:hAnsi="宋体" w:cs="宋体"/>
          <w:color w:val="000000"/>
          <w:sz w:val="24"/>
        </w:rPr>
      </w:pPr>
      <w:r>
        <w:rPr>
          <w:rFonts w:hint="eastAsia" w:ascii="宋体" w:hAnsi="宋体" w:cs="宋体"/>
          <w:color w:val="000000"/>
          <w:sz w:val="24"/>
        </w:rPr>
        <w:t>1.7 评标过程独立、保密。投标人非法干预评标过程的行为将导致其投标文件作为无效处理。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1.8 评标委员会评价投标文件的响应性，对于投标人而言，除评标委员会要求其澄清、说明或者更正而提供的资料外，仅依据投标文件本身的内容，不寻求其他外部证据。</w:t>
      </w:r>
    </w:p>
    <w:p>
      <w:pPr>
        <w:spacing w:line="360" w:lineRule="auto"/>
        <w:outlineLvl w:val="1"/>
        <w:rPr>
          <w:rFonts w:ascii="宋体" w:hAnsi="宋体" w:cs="宋体"/>
          <w:b/>
          <w:color w:val="000000"/>
          <w:sz w:val="24"/>
        </w:rPr>
      </w:pPr>
      <w:r>
        <w:rPr>
          <w:rFonts w:hint="eastAsia" w:ascii="宋体" w:hAnsi="宋体" w:cs="宋体"/>
          <w:b/>
          <w:color w:val="000000"/>
          <w:sz w:val="24"/>
        </w:rPr>
        <w:t>2.评标</w:t>
      </w:r>
      <w:bookmarkEnd w:id="409"/>
      <w:r>
        <w:rPr>
          <w:rFonts w:hint="eastAsia" w:ascii="宋体" w:hAnsi="宋体" w:cs="宋体"/>
          <w:b/>
          <w:color w:val="000000"/>
          <w:sz w:val="24"/>
        </w:rPr>
        <w:t>方法</w:t>
      </w:r>
    </w:p>
    <w:p>
      <w:pPr>
        <w:spacing w:line="360" w:lineRule="auto"/>
        <w:ind w:firstLine="480" w:firstLineChars="200"/>
        <w:rPr>
          <w:rFonts w:ascii="宋体" w:hAnsi="宋体" w:cs="宋体"/>
          <w:color w:val="000000"/>
          <w:sz w:val="24"/>
        </w:rPr>
      </w:pPr>
      <w:bookmarkStart w:id="410" w:name="_Toc217446103"/>
      <w:r>
        <w:rPr>
          <w:rFonts w:hint="eastAsia" w:ascii="宋体" w:hAnsi="宋体" w:cs="宋体"/>
          <w:color w:val="000000"/>
          <w:sz w:val="24"/>
        </w:rPr>
        <w:t>2.1本项目评标方法为：综合评分法。</w:t>
      </w:r>
    </w:p>
    <w:p>
      <w:pPr>
        <w:spacing w:line="360" w:lineRule="auto"/>
        <w:outlineLvl w:val="1"/>
        <w:rPr>
          <w:rFonts w:ascii="宋体" w:hAnsi="宋体" w:cs="宋体"/>
          <w:b/>
          <w:color w:val="000000"/>
          <w:sz w:val="24"/>
        </w:rPr>
      </w:pPr>
      <w:r>
        <w:rPr>
          <w:rFonts w:hint="eastAsia" w:ascii="宋体" w:hAnsi="宋体" w:cs="宋体"/>
          <w:b/>
          <w:color w:val="000000"/>
          <w:sz w:val="24"/>
        </w:rPr>
        <w:t>3.评标程序</w:t>
      </w:r>
    </w:p>
    <w:p>
      <w:pPr>
        <w:spacing w:line="360" w:lineRule="auto"/>
        <w:ind w:firstLine="480" w:firstLineChars="200"/>
        <w:rPr>
          <w:rFonts w:ascii="宋体" w:hAnsi="宋体" w:cs="宋体"/>
          <w:color w:val="000000"/>
          <w:sz w:val="24"/>
        </w:rPr>
      </w:pPr>
      <w:r>
        <w:rPr>
          <w:rFonts w:hint="eastAsia" w:ascii="宋体" w:hAnsi="宋体" w:cs="宋体"/>
          <w:color w:val="000000"/>
          <w:sz w:val="24"/>
        </w:rPr>
        <w:t>3.1熟悉和理解招标文件和停止评标。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3.1.1评标委员会正式评标前，应当对招标文件进行熟悉和理解，内容主要包括招标文件中投标人资格条件要求、采购项目技术、服务和商务要求、评标方法和标准以及可能涉及签订政府采购合同的内容等。</w:t>
      </w:r>
    </w:p>
    <w:p>
      <w:pPr>
        <w:spacing w:line="360" w:lineRule="auto"/>
        <w:ind w:firstLine="480" w:firstLineChars="200"/>
        <w:rPr>
          <w:rFonts w:ascii="宋体" w:hAnsi="宋体" w:cs="宋体"/>
          <w:color w:val="000000"/>
          <w:sz w:val="24"/>
        </w:rPr>
      </w:pPr>
      <w:r>
        <w:rPr>
          <w:rFonts w:hint="eastAsia" w:ascii="宋体" w:hAnsi="宋体" w:cs="宋体"/>
          <w:color w:val="000000"/>
          <w:sz w:val="24"/>
        </w:rPr>
        <w:t>3.1.2评标委员会熟悉和理解招标文件以及评标过程中，发现本招标文件有下列情形之一的，评标委员会应当停止评标：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（1）招标文件的规定存在歧义、重大缺陷的；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（2）招标文件明显以不合理条件对供应商实行差别待遇或者歧视待遇的；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（3）采购项目属于国家规定的优先、强制采购范围，但是招标文件未依法体现优先、强制采购相关规定的；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（4）采购项目属于政府采购促进中小企业发展的范围，但是招标文件未依法体现促进中小企业发展相关规定的；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（5）招标文件规定的评标方法是综合评分法、最低评标价法之外的评标方法，或者虽然名称为综合评分法、最低评标价法，但实际上不符合国家规定；</w:t>
      </w:r>
    </w:p>
    <w:p>
      <w:pPr>
        <w:spacing w:line="360" w:lineRule="auto"/>
        <w:ind w:firstLine="480" w:firstLineChars="200"/>
        <w:rPr>
          <w:rFonts w:ascii="宋体" w:hAnsi="宋体" w:cs="宋体"/>
          <w:color w:val="000000"/>
          <w:sz w:val="24"/>
        </w:rPr>
      </w:pPr>
      <w:r>
        <w:rPr>
          <w:rFonts w:hint="eastAsia" w:ascii="宋体" w:hAnsi="宋体" w:cs="宋体"/>
          <w:color w:val="000000"/>
          <w:sz w:val="24"/>
        </w:rPr>
        <w:t>（6）招标文件将投标人的资格条件列为评分因素的；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（7）招标文件有违反国家其他有关强制性规定的情形。</w:t>
      </w:r>
    </w:p>
    <w:p>
      <w:pPr>
        <w:spacing w:line="360" w:lineRule="auto"/>
        <w:ind w:firstLine="480" w:firstLineChars="200"/>
        <w:rPr>
          <w:rFonts w:ascii="宋体" w:hAnsi="宋体" w:cs="宋体"/>
          <w:color w:val="000000"/>
          <w:sz w:val="24"/>
        </w:rPr>
      </w:pPr>
      <w:r>
        <w:rPr>
          <w:rFonts w:hint="eastAsia" w:ascii="宋体" w:hAnsi="宋体" w:cs="宋体"/>
          <w:color w:val="000000"/>
          <w:sz w:val="24"/>
        </w:rPr>
        <w:t>3.1.3出现本条3.1.2规定应当停止评标情形的，评标委员会成员应当向招标采购单位书面说明情况。除本条规定和评标委员会无法依法组建的情形外，评标委员会成员不得以任何方式和理由停止评标。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3.2符合性检查。</w:t>
      </w:r>
    </w:p>
    <w:p>
      <w:pPr>
        <w:spacing w:line="360" w:lineRule="auto"/>
        <w:ind w:firstLine="480" w:firstLineChars="200"/>
        <w:rPr>
          <w:rFonts w:ascii="宋体" w:hAnsi="宋体" w:cs="宋体"/>
          <w:color w:val="000000"/>
          <w:sz w:val="24"/>
        </w:rPr>
      </w:pPr>
      <w:r>
        <w:rPr>
          <w:rFonts w:hint="eastAsia" w:ascii="宋体" w:hAnsi="宋体" w:cs="宋体"/>
          <w:color w:val="000000"/>
          <w:sz w:val="24"/>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360" w:lineRule="auto"/>
        <w:ind w:firstLine="480" w:firstLineChars="200"/>
        <w:rPr>
          <w:rFonts w:ascii="宋体" w:hAnsi="宋体" w:cs="宋体"/>
          <w:color w:val="000000"/>
          <w:sz w:val="24"/>
        </w:rPr>
      </w:pPr>
      <w:r>
        <w:rPr>
          <w:rFonts w:hint="eastAsia" w:ascii="宋体" w:hAnsi="宋体" w:cs="宋体"/>
          <w:color w:val="000000"/>
          <w:sz w:val="24"/>
        </w:rPr>
        <w:t>3.2.2投标文件（包括单独递交的开标一览表）有下列情形的，本项目不作为实质性要求进行规定，即不作为符合性审查事项，不得作为无效投标处理：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（1）正副本数量齐全；</w:t>
      </w:r>
    </w:p>
    <w:p>
      <w:pPr>
        <w:spacing w:line="360" w:lineRule="auto"/>
        <w:ind w:firstLine="480" w:firstLineChars="200"/>
        <w:rPr>
          <w:rFonts w:ascii="宋体" w:hAnsi="宋体" w:cs="宋体"/>
          <w:color w:val="000000"/>
          <w:sz w:val="24"/>
        </w:rPr>
      </w:pPr>
      <w:r>
        <w:rPr>
          <w:rFonts w:hint="eastAsia" w:ascii="宋体" w:hAnsi="宋体" w:cs="宋体"/>
          <w:color w:val="000000"/>
          <w:sz w:val="24"/>
        </w:rPr>
        <w:t>（2）存在个别地方（不超过2个）没有法定代表人/单位负责人签字，但有法定代表人/单位负责人的私人印章或者有效授权代理人签字的；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（3）除招标文件明确要求加盖单位（法人）公章的以外，其他地方以相关专用章加盖的；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（4）以骑缝章的形式代替投标文件内容逐页盖章的（但是骑缝章模糊不清，印章名称无法辨认的除外）；</w:t>
      </w:r>
    </w:p>
    <w:p>
      <w:pPr>
        <w:spacing w:line="360" w:lineRule="auto"/>
        <w:ind w:firstLine="480" w:firstLineChars="200"/>
        <w:rPr>
          <w:rFonts w:ascii="宋体" w:hAnsi="宋体" w:cs="宋体"/>
          <w:color w:val="000000"/>
          <w:sz w:val="24"/>
        </w:rPr>
      </w:pPr>
      <w:r>
        <w:rPr>
          <w:rFonts w:hint="eastAsia" w:ascii="宋体" w:hAnsi="宋体" w:cs="宋体"/>
          <w:color w:val="000000"/>
          <w:sz w:val="24"/>
        </w:rPr>
        <w:t>（5）其他不影响采购项目实质性要求的情形。</w:t>
      </w:r>
    </w:p>
    <w:p>
      <w:pPr>
        <w:spacing w:line="360" w:lineRule="auto"/>
        <w:ind w:firstLine="480" w:firstLineChars="200"/>
        <w:rPr>
          <w:rFonts w:ascii="宋体" w:hAnsi="宋体" w:cs="宋体"/>
          <w:color w:val="000000"/>
          <w:sz w:val="24"/>
        </w:rPr>
      </w:pPr>
      <w:r>
        <w:rPr>
          <w:rFonts w:hint="eastAsia" w:ascii="宋体" w:hAnsi="宋体" w:cs="宋体"/>
          <w:color w:val="000000"/>
          <w:sz w:val="24"/>
        </w:rPr>
        <w:t>3.2.3除政府采购法律制度规定的情形外，本项目投标人或者其投标文件有下列情形之一的，作为无效投标处理：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（1）投标文件正副本数量不足的；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（2）投标文件组成明显不符合招标文件的规定要求，影响评标委员会评判的；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（3）投标文件的格式、语言、计量单位、报价货币、投标有效期等不符合招标文件的规定，影响评标委员会评判的；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（4）投标报价不符合招标文件规定的采购预算或限价或其他报价规定的；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（5）没有响应招标文件的其他实质性要求或属于招标文件中投标无效情形的。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3.3比较与评价。按招标文件中规定的评标方法和标准，对未作无效投标处理的投标文件进行技术、服务、商务等方面评估，综合比较与评价。</w:t>
      </w:r>
    </w:p>
    <w:p>
      <w:pPr>
        <w:spacing w:line="360" w:lineRule="auto"/>
        <w:ind w:firstLine="480" w:firstLineChars="200"/>
        <w:rPr>
          <w:rFonts w:ascii="宋体" w:hAnsi="宋体" w:cs="宋体"/>
          <w:color w:val="000000"/>
          <w:sz w:val="24"/>
        </w:rPr>
      </w:pPr>
      <w:r>
        <w:rPr>
          <w:rFonts w:hint="eastAsia" w:ascii="宋体" w:hAnsi="宋体" w:cs="宋体"/>
          <w:color w:val="000000"/>
          <w:sz w:val="24"/>
        </w:rPr>
        <w:t>3.4复核。评分汇总结束后，评标委员会应当进行复核，特别要对拟推荐为中标候选供应商的、报价最低的、投标文件被认定为无效的进行重点复核。</w:t>
      </w:r>
    </w:p>
    <w:p>
      <w:pPr>
        <w:spacing w:line="360" w:lineRule="auto"/>
        <w:ind w:firstLine="480" w:firstLineChars="200"/>
        <w:rPr>
          <w:rFonts w:ascii="宋体" w:hAnsi="宋体" w:cs="宋体"/>
          <w:color w:val="000000"/>
          <w:sz w:val="24"/>
        </w:rPr>
      </w:pPr>
      <w:r>
        <w:rPr>
          <w:rFonts w:hint="eastAsia" w:ascii="宋体" w:hAnsi="宋体" w:cs="宋体"/>
          <w:color w:val="000000"/>
          <w:sz w:val="24"/>
        </w:rPr>
        <w:t>3.5推荐中标候选供应商。中标候选供应商应当按评审后得分由高到低顺序排列。得分相同的，按投标报价由低到高顺序排列。得分且投标报价相同的并列。投标文件满足招标文件全部实质性要求，且按照评审因素的项目实施方案得分高的投标人为排名第一的中标候选人。排名并列的优先选择少数民族或不发达地区的供应商（以提供不发达地区企业或供应商注册地为少数民族地区的相关证明材料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pPr>
        <w:spacing w:line="360" w:lineRule="auto"/>
        <w:ind w:firstLine="480" w:firstLineChars="200"/>
        <w:rPr>
          <w:rFonts w:ascii="宋体" w:hAnsi="宋体" w:cs="宋体"/>
          <w:color w:val="000000"/>
          <w:sz w:val="24"/>
        </w:rPr>
      </w:pPr>
      <w:r>
        <w:rPr>
          <w:rFonts w:hint="eastAsia" w:ascii="宋体" w:hAnsi="宋体" w:cs="宋体"/>
          <w:color w:val="000000"/>
          <w:sz w:val="24"/>
        </w:rPr>
        <w:t>3.6出具评标报告。评标委员会推荐中标候选供应商后，应当向招标采购单位出具评标报告。评标报告应当包括下列内容：</w:t>
      </w:r>
    </w:p>
    <w:p>
      <w:pPr>
        <w:spacing w:line="360" w:lineRule="auto"/>
        <w:ind w:firstLine="480" w:firstLineChars="200"/>
        <w:rPr>
          <w:rFonts w:ascii="宋体" w:hAnsi="宋体" w:cs="宋体"/>
          <w:color w:val="000000"/>
          <w:sz w:val="24"/>
        </w:rPr>
      </w:pPr>
      <w:r>
        <w:rPr>
          <w:rFonts w:hint="eastAsia" w:ascii="宋体" w:hAnsi="宋体" w:cs="宋体"/>
          <w:color w:val="000000"/>
          <w:sz w:val="24"/>
        </w:rPr>
        <w:t>（1）招标公告刊登的媒体名称、开标日期和地点；</w:t>
      </w:r>
    </w:p>
    <w:p>
      <w:pPr>
        <w:spacing w:line="360" w:lineRule="auto"/>
        <w:ind w:firstLine="480" w:firstLineChars="200"/>
        <w:rPr>
          <w:rFonts w:ascii="宋体" w:hAnsi="宋体" w:cs="宋体"/>
          <w:color w:val="000000"/>
          <w:sz w:val="24"/>
        </w:rPr>
      </w:pPr>
      <w:r>
        <w:rPr>
          <w:rFonts w:hint="eastAsia" w:ascii="宋体" w:hAnsi="宋体" w:cs="宋体"/>
          <w:color w:val="000000"/>
          <w:sz w:val="24"/>
        </w:rPr>
        <w:t>（2）获取招标文件的投标人名单和评标委员会成员名单；</w:t>
      </w:r>
    </w:p>
    <w:p>
      <w:pPr>
        <w:spacing w:line="360" w:lineRule="auto"/>
        <w:ind w:firstLine="480" w:firstLineChars="200"/>
        <w:rPr>
          <w:rFonts w:ascii="宋体" w:hAnsi="宋体" w:cs="宋体"/>
          <w:color w:val="000000"/>
          <w:sz w:val="24"/>
        </w:rPr>
      </w:pPr>
      <w:r>
        <w:rPr>
          <w:rFonts w:hint="eastAsia" w:ascii="宋体" w:hAnsi="宋体" w:cs="宋体"/>
          <w:color w:val="000000"/>
          <w:sz w:val="24"/>
        </w:rPr>
        <w:t>（3）评标方法和标准；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（4）开标记录和评标情况及说明，包括无效投标人名单及原因；</w:t>
      </w:r>
    </w:p>
    <w:p>
      <w:pPr>
        <w:spacing w:line="360" w:lineRule="auto"/>
        <w:ind w:firstLine="480" w:firstLineChars="200"/>
        <w:rPr>
          <w:rFonts w:ascii="宋体" w:hAnsi="宋体" w:cs="宋体"/>
          <w:color w:val="000000"/>
          <w:sz w:val="24"/>
        </w:rPr>
      </w:pPr>
      <w:r>
        <w:rPr>
          <w:rFonts w:hint="eastAsia" w:ascii="宋体" w:hAnsi="宋体" w:cs="宋体"/>
          <w:color w:val="000000"/>
          <w:sz w:val="24"/>
        </w:rPr>
        <w:t>（5）评标结果和中标候选供应商排序表；</w:t>
      </w:r>
    </w:p>
    <w:p>
      <w:pPr>
        <w:spacing w:line="360" w:lineRule="auto"/>
        <w:ind w:firstLine="480" w:firstLineChars="200"/>
        <w:rPr>
          <w:rFonts w:ascii="宋体" w:hAnsi="宋体" w:cs="宋体"/>
          <w:color w:val="000000"/>
          <w:sz w:val="24"/>
        </w:rPr>
      </w:pPr>
      <w:r>
        <w:rPr>
          <w:rFonts w:hint="eastAsia" w:ascii="宋体" w:hAnsi="宋体" w:cs="宋体"/>
          <w:color w:val="000000"/>
          <w:sz w:val="24"/>
        </w:rPr>
        <w:t>（6）评标委员会授标建议。</w:t>
      </w:r>
    </w:p>
    <w:p>
      <w:pPr>
        <w:spacing w:line="360" w:lineRule="auto"/>
        <w:ind w:firstLine="480" w:firstLineChars="200"/>
        <w:rPr>
          <w:rFonts w:ascii="宋体" w:hAnsi="宋体" w:cs="宋体"/>
          <w:color w:val="000000"/>
          <w:sz w:val="24"/>
        </w:rPr>
      </w:pPr>
      <w:r>
        <w:rPr>
          <w:rFonts w:hint="eastAsia" w:ascii="宋体" w:hAnsi="宋体" w:cs="宋体"/>
          <w:color w:val="000000"/>
          <w:sz w:val="24"/>
        </w:rPr>
        <w:t>3.7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360" w:lineRule="auto"/>
        <w:ind w:firstLine="480" w:firstLineChars="200"/>
        <w:rPr>
          <w:rFonts w:ascii="宋体" w:hAnsi="宋体" w:cs="宋体"/>
          <w:color w:val="000000"/>
          <w:sz w:val="24"/>
        </w:rPr>
      </w:pPr>
      <w:r>
        <w:rPr>
          <w:rFonts w:hint="eastAsia" w:ascii="宋体" w:hAnsi="宋体" w:cs="宋体"/>
          <w:color w:val="000000"/>
          <w:sz w:val="24"/>
        </w:rPr>
        <w:t>3.8评标争议处理规则。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3.9投标人应当书面澄清、说明或者更正。</w:t>
      </w:r>
    </w:p>
    <w:p>
      <w:pPr>
        <w:spacing w:line="360" w:lineRule="auto"/>
        <w:ind w:firstLine="480" w:firstLineChars="200"/>
        <w:rPr>
          <w:rFonts w:ascii="宋体" w:hAnsi="宋体" w:cs="宋体"/>
          <w:color w:val="000000"/>
          <w:sz w:val="24"/>
        </w:rPr>
      </w:pPr>
      <w:r>
        <w:rPr>
          <w:rFonts w:hint="eastAsia" w:ascii="宋体" w:hAnsi="宋体" w:cs="宋体"/>
          <w:color w:val="000000"/>
          <w:sz w:val="24"/>
        </w:rPr>
        <w:t>3.9.1在评标过程中，投标人投标文件实质性符合招标文件要求的前提下，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pPr>
        <w:spacing w:line="360" w:lineRule="auto"/>
        <w:ind w:firstLine="480" w:firstLineChars="200"/>
        <w:rPr>
          <w:rFonts w:ascii="宋体" w:hAnsi="宋体" w:cs="宋体"/>
          <w:color w:val="000000"/>
          <w:sz w:val="24"/>
        </w:rPr>
      </w:pPr>
      <w:r>
        <w:rPr>
          <w:rFonts w:hint="eastAsia" w:ascii="宋体" w:hAnsi="宋体" w:cs="宋体"/>
          <w:color w:val="000000"/>
          <w:sz w:val="24"/>
        </w:rPr>
        <w:t>3.9.2投标人应当书面澄清、说明或者更正，并加盖公章或签字确认（投标人为法人的，应当由其法定代表人/单位负责人或者代理人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w:t>
      </w:r>
    </w:p>
    <w:p>
      <w:pPr>
        <w:spacing w:line="360" w:lineRule="auto"/>
        <w:ind w:firstLine="480" w:firstLineChars="200"/>
        <w:rPr>
          <w:rFonts w:ascii="宋体" w:hAnsi="宋体" w:cs="宋体"/>
          <w:color w:val="000000"/>
          <w:sz w:val="24"/>
        </w:rPr>
      </w:pPr>
      <w:r>
        <w:rPr>
          <w:rFonts w:hint="eastAsia" w:ascii="宋体" w:hAnsi="宋体" w:cs="宋体"/>
          <w:color w:val="000000"/>
          <w:sz w:val="24"/>
        </w:rPr>
        <w:t>3.9.3评标委员会要求投标人澄清、说明或者更正，不得超出招标文件的范围，不得以此让投标人实质改变投标文件的内容，不得影响投标人公平竞争。本项目下列内容不得澄清：</w:t>
      </w:r>
    </w:p>
    <w:p>
      <w:pPr>
        <w:spacing w:line="360" w:lineRule="auto"/>
        <w:ind w:firstLine="480" w:firstLineChars="200"/>
        <w:rPr>
          <w:rFonts w:ascii="宋体" w:hAnsi="宋体" w:cs="宋体"/>
          <w:color w:val="000000"/>
          <w:sz w:val="24"/>
        </w:rPr>
      </w:pPr>
      <w:r>
        <w:rPr>
          <w:rFonts w:hint="eastAsia" w:ascii="宋体" w:hAnsi="宋体" w:cs="宋体"/>
          <w:color w:val="000000"/>
          <w:sz w:val="24"/>
        </w:rPr>
        <w:t>（1）按财政部规定应当在评标时不予承认的投标文件内容事项；</w:t>
      </w:r>
    </w:p>
    <w:p>
      <w:pPr>
        <w:spacing w:line="360" w:lineRule="auto"/>
        <w:ind w:firstLine="480" w:firstLineChars="200"/>
        <w:rPr>
          <w:rFonts w:ascii="宋体" w:hAnsi="宋体" w:cs="宋体"/>
          <w:color w:val="000000"/>
          <w:sz w:val="24"/>
        </w:rPr>
      </w:pPr>
      <w:r>
        <w:rPr>
          <w:rFonts w:hint="eastAsia" w:ascii="宋体" w:hAnsi="宋体" w:cs="宋体"/>
          <w:color w:val="000000"/>
          <w:sz w:val="24"/>
        </w:rPr>
        <w:t>（2）投标文件中已经明确的内容事项；</w:t>
      </w:r>
    </w:p>
    <w:p>
      <w:pPr>
        <w:spacing w:line="360" w:lineRule="auto"/>
        <w:ind w:firstLine="480" w:firstLineChars="200"/>
        <w:rPr>
          <w:rFonts w:ascii="宋体" w:hAnsi="宋体" w:cs="宋体"/>
          <w:color w:val="000000"/>
          <w:sz w:val="24"/>
        </w:rPr>
      </w:pPr>
      <w:r>
        <w:rPr>
          <w:rFonts w:hint="eastAsia" w:ascii="宋体" w:hAnsi="宋体" w:cs="宋体"/>
          <w:color w:val="000000"/>
          <w:sz w:val="24"/>
        </w:rPr>
        <w:t>3.9.4 本项目采购过程中，投标文件报价出现前后不一致的，按照下列规定修正：</w:t>
      </w:r>
    </w:p>
    <w:p>
      <w:pPr>
        <w:spacing w:line="360" w:lineRule="auto"/>
        <w:ind w:firstLine="480" w:firstLineChars="200"/>
        <w:rPr>
          <w:rFonts w:ascii="宋体" w:hAnsi="宋体" w:cs="宋体"/>
          <w:color w:val="000000"/>
          <w:sz w:val="24"/>
        </w:rPr>
      </w:pPr>
      <w:r>
        <w:rPr>
          <w:rFonts w:hint="eastAsia" w:ascii="宋体" w:hAnsi="宋体" w:cs="宋体"/>
          <w:color w:val="000000"/>
          <w:sz w:val="24"/>
        </w:rPr>
        <w:t>（1）投标文件中开标一览表（报价表）内容与投标文件中相应内容不一致的，以开标一览表（报价表）为准；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（2）大写金额和小写金额不一致的，以大写金额为准；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（3）单价金额小数点或者百分比有明显错位的，以开标一览表的总价为准，并修改单价；</w:t>
      </w:r>
    </w:p>
    <w:p>
      <w:pPr>
        <w:spacing w:line="360" w:lineRule="auto"/>
        <w:ind w:firstLine="480" w:firstLineChars="200"/>
        <w:rPr>
          <w:rFonts w:ascii="宋体" w:hAnsi="宋体" w:cs="宋体"/>
          <w:color w:val="000000"/>
          <w:sz w:val="24"/>
        </w:rPr>
      </w:pPr>
      <w:r>
        <w:rPr>
          <w:rFonts w:hint="eastAsia" w:ascii="宋体" w:hAnsi="宋体" w:cs="宋体"/>
          <w:color w:val="000000"/>
          <w:sz w:val="24"/>
        </w:rPr>
        <w:t>（4）总价金额与按单价汇总金额不一致的，以单价金额计算结果为准。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同时出现两种以上不一致的，按照前款规定的顺序修正。修正后的报价按照本章3.9.1-3.9.3的规定经投标人确认后产生约束力，投标人不确认的，其投标无效。</w:t>
      </w:r>
    </w:p>
    <w:p>
      <w:pPr>
        <w:spacing w:line="360" w:lineRule="auto"/>
        <w:ind w:firstLine="420" w:firstLineChars="200"/>
        <w:rPr>
          <w:rFonts w:ascii="宋体" w:hAnsi="宋体" w:cs="宋体"/>
          <w:color w:val="000000"/>
        </w:rPr>
      </w:pPr>
      <w:r>
        <w:rPr>
          <w:rFonts w:hint="eastAsia" w:ascii="宋体" w:hAnsi="宋体" w:cs="宋体"/>
          <w:color w:val="000000"/>
        </w:rPr>
        <w:t>注：评标委员会当积极履行澄清、说明或者更正的职责，不得滥用权力。投标人的投标文件应当要求澄清、说明或者更正的，不得未经澄清、说明或者更正而直接作无效投标处理。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3.10 低于成本价投标处理。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1）低于成本价投标处理。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line="360" w:lineRule="auto"/>
        <w:ind w:firstLine="480" w:firstLineChars="200"/>
        <w:rPr>
          <w:rFonts w:ascii="宋体" w:hAnsi="宋体" w:cs="宋体"/>
          <w:color w:val="000000"/>
          <w:sz w:val="24"/>
        </w:rPr>
      </w:pPr>
      <w:r>
        <w:rPr>
          <w:rFonts w:hint="eastAsia" w:ascii="宋体" w:hAnsi="宋体" w:cs="宋体"/>
          <w:color w:val="000000"/>
          <w:sz w:val="24"/>
        </w:rPr>
        <w:t>（2）投标人书面说明应当签字确认或者加盖公章，否则无效。书面说明的签字确认，投标人为法人的，由其法定代表人/单位负责人或者代理人签字确认；投标人为其他组织的，由其主要负责人或者代理人签字确认；投标人为自然人的，由其本人或者代理人签字确认。</w:t>
      </w:r>
    </w:p>
    <w:p>
      <w:pPr>
        <w:spacing w:line="360" w:lineRule="auto"/>
        <w:ind w:firstLine="480" w:firstLineChars="200"/>
        <w:rPr>
          <w:rFonts w:ascii="宋体" w:hAnsi="宋体" w:cs="宋体"/>
          <w:color w:val="000000"/>
          <w:sz w:val="24"/>
        </w:rPr>
      </w:pPr>
      <w:r>
        <w:rPr>
          <w:rFonts w:hint="eastAsia" w:ascii="宋体" w:hAnsi="宋体" w:cs="宋体"/>
          <w:color w:val="000000"/>
          <w:sz w:val="24"/>
        </w:rPr>
        <w:t>（3）投标人提供书面说明后，评标委员会应当结合采购项目采购需求、专业实际情况、投标人财务状况报告、与其他供应商比较情况等就投标人书面说明进行审查评价。投标人拒绝或者变相拒绝提供有效书面说明或者书面说明不能证明其报价合理性的，评标委员会应当将其投标文件、投标文件作为无效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3.11招标采购单位现场复核评标结果。</w:t>
      </w:r>
    </w:p>
    <w:p>
      <w:pPr>
        <w:spacing w:line="360" w:lineRule="auto"/>
        <w:ind w:firstLine="480" w:firstLineChars="200"/>
        <w:rPr>
          <w:rFonts w:ascii="宋体" w:hAnsi="宋体" w:cs="宋体"/>
          <w:color w:val="000000"/>
          <w:sz w:val="24"/>
        </w:rPr>
      </w:pPr>
      <w:r>
        <w:rPr>
          <w:rFonts w:hint="eastAsia" w:ascii="宋体" w:hAnsi="宋体" w:cs="宋体"/>
          <w:color w:val="000000"/>
          <w:sz w:val="24"/>
        </w:rPr>
        <w:t>3.11.1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pPr>
        <w:spacing w:line="360" w:lineRule="auto"/>
        <w:ind w:firstLine="480" w:firstLineChars="200"/>
        <w:rPr>
          <w:rFonts w:ascii="宋体" w:hAnsi="宋体" w:cs="宋体"/>
          <w:color w:val="000000"/>
          <w:sz w:val="24"/>
        </w:rPr>
      </w:pPr>
      <w:r>
        <w:rPr>
          <w:rFonts w:hint="eastAsia" w:ascii="宋体" w:hAnsi="宋体" w:cs="宋体"/>
          <w:color w:val="000000"/>
          <w:sz w:val="24"/>
        </w:rPr>
        <w:t>（1）分值汇总计算错误的；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（2）分项评分超出评分标准范围的；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（3）客观评分不一致的；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（4）经评标委员会认定评分畸高畸低的。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3.11.2有下列情形之一的，不得修改评标结果或者重新评审：</w:t>
      </w:r>
    </w:p>
    <w:p>
      <w:pPr>
        <w:spacing w:line="360" w:lineRule="auto"/>
        <w:ind w:firstLine="480" w:firstLineChars="200"/>
        <w:rPr>
          <w:rFonts w:ascii="宋体" w:hAnsi="宋体" w:cs="宋体"/>
          <w:color w:val="000000"/>
          <w:sz w:val="24"/>
        </w:rPr>
      </w:pPr>
      <w:r>
        <w:rPr>
          <w:rFonts w:hint="eastAsia" w:ascii="宋体" w:hAnsi="宋体" w:cs="宋体"/>
          <w:color w:val="000000"/>
          <w:sz w:val="24"/>
        </w:rPr>
        <w:t>（1）招标采购单位现场复核时，复核工作人员数量不足的；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（2）招标采购单位现场复核时，没有采购监督人员现场监督的；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（3）招标采购单位现场复核内容超出规定范围的；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（4）招标采购单位未提供书面建议的。</w:t>
      </w:r>
    </w:p>
    <w:p>
      <w:pPr>
        <w:spacing w:line="360" w:lineRule="auto"/>
        <w:outlineLvl w:val="1"/>
        <w:rPr>
          <w:rFonts w:ascii="宋体" w:hAnsi="宋体" w:cs="宋体"/>
          <w:b/>
          <w:color w:val="000000"/>
          <w:sz w:val="24"/>
        </w:rPr>
      </w:pPr>
      <w:r>
        <w:rPr>
          <w:rFonts w:hint="eastAsia" w:ascii="宋体" w:hAnsi="宋体" w:cs="宋体"/>
          <w:b/>
          <w:color w:val="000000"/>
          <w:sz w:val="24"/>
        </w:rPr>
        <w:t>4. 评标细则及标准</w:t>
      </w:r>
      <w:bookmarkEnd w:id="410"/>
    </w:p>
    <w:p>
      <w:pPr>
        <w:spacing w:line="360" w:lineRule="auto"/>
        <w:ind w:firstLine="480" w:firstLineChars="200"/>
        <w:rPr>
          <w:rFonts w:ascii="宋体" w:hAnsi="宋体" w:cs="宋体"/>
          <w:color w:val="000000"/>
          <w:sz w:val="24"/>
        </w:rPr>
      </w:pPr>
      <w:r>
        <w:rPr>
          <w:rFonts w:hint="eastAsia" w:ascii="宋体" w:hAnsi="宋体" w:cs="宋体"/>
          <w:color w:val="000000"/>
          <w:sz w:val="24"/>
        </w:rPr>
        <w:t>4.1本项目采用综合评分法，评分因素详见综合评分明细表。</w:t>
      </w:r>
    </w:p>
    <w:p>
      <w:pPr>
        <w:spacing w:line="360" w:lineRule="auto"/>
        <w:ind w:firstLine="480" w:firstLineChars="200"/>
        <w:rPr>
          <w:rFonts w:ascii="宋体" w:hAnsi="宋体" w:cs="宋体"/>
          <w:color w:val="000000"/>
          <w:sz w:val="24"/>
        </w:rPr>
      </w:pPr>
      <w:r>
        <w:rPr>
          <w:rFonts w:hint="eastAsia" w:ascii="宋体" w:hAnsi="宋体" w:cs="宋体"/>
          <w:color w:val="000000"/>
          <w:sz w:val="24"/>
        </w:rPr>
        <w:t>4.2 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采购人代表原则上对技术类评分因素独立评分。价格和其他不能明确区分的评分因素由评标委员会成员共同评分。</w:t>
      </w:r>
    </w:p>
    <w:p>
      <w:pPr>
        <w:spacing w:line="360" w:lineRule="auto"/>
        <w:ind w:firstLine="480" w:firstLineChars="200"/>
        <w:rPr>
          <w:rFonts w:ascii="宋体" w:hAnsi="宋体" w:cs="宋体"/>
          <w:color w:val="000000"/>
          <w:sz w:val="24"/>
        </w:rPr>
      </w:pPr>
      <w:r>
        <w:rPr>
          <w:rFonts w:hint="eastAsia" w:ascii="宋体" w:hAnsi="宋体" w:cs="宋体"/>
          <w:color w:val="000000"/>
          <w:sz w:val="24"/>
        </w:rPr>
        <w:t>4.3综合评分明细表</w:t>
      </w:r>
    </w:p>
    <w:p>
      <w:pPr>
        <w:spacing w:line="360" w:lineRule="auto"/>
        <w:ind w:firstLine="480" w:firstLineChars="200"/>
        <w:rPr>
          <w:rFonts w:ascii="宋体" w:hAnsi="宋体" w:cs="宋体"/>
          <w:color w:val="000000"/>
          <w:sz w:val="24"/>
        </w:rPr>
      </w:pPr>
      <w:r>
        <w:rPr>
          <w:rFonts w:hint="eastAsia" w:ascii="宋体" w:hAnsi="宋体" w:cs="宋体"/>
          <w:color w:val="000000"/>
          <w:sz w:val="24"/>
        </w:rPr>
        <w:t>4.3.1综合评分明细表的制定以科学合理、降低评委会自由裁量权为原则。</w:t>
      </w:r>
    </w:p>
    <w:p>
      <w:pPr>
        <w:spacing w:line="360" w:lineRule="auto"/>
        <w:ind w:firstLine="480" w:firstLineChars="200"/>
        <w:rPr>
          <w:rFonts w:ascii="宋体" w:hAnsi="宋体" w:cs="宋体"/>
          <w:color w:val="000000"/>
          <w:sz w:val="24"/>
        </w:rPr>
      </w:pPr>
      <w:r>
        <w:rPr>
          <w:rFonts w:hint="eastAsia" w:ascii="宋体" w:hAnsi="宋体" w:cs="宋体"/>
          <w:color w:val="000000"/>
          <w:sz w:val="24"/>
        </w:rPr>
        <w:t>4.3.2 综合评分明细表按须知表中的相关要求进行价格调整，再参与价格分评审。</w:t>
      </w:r>
    </w:p>
    <w:p>
      <w:pPr>
        <w:spacing w:line="360" w:lineRule="auto"/>
        <w:ind w:firstLine="480" w:firstLineChars="200"/>
        <w:rPr>
          <w:rFonts w:ascii="宋体" w:hAnsi="宋体" w:cs="宋体"/>
          <w:color w:val="auto"/>
          <w:sz w:val="24"/>
        </w:rPr>
      </w:pPr>
      <w:r>
        <w:rPr>
          <w:rFonts w:hint="eastAsia" w:ascii="宋体" w:hAnsi="宋体" w:cs="宋体"/>
          <w:color w:val="auto"/>
          <w:sz w:val="24"/>
        </w:rPr>
        <w:t>4.3.3综合评分明细表</w:t>
      </w:r>
    </w:p>
    <w:tbl>
      <w:tblPr>
        <w:tblStyle w:val="47"/>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907"/>
        <w:gridCol w:w="960"/>
        <w:gridCol w:w="500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93" w:type="dxa"/>
            <w:vAlign w:val="center"/>
          </w:tcPr>
          <w:p>
            <w:pPr>
              <w:pStyle w:val="220"/>
              <w:spacing w:line="360" w:lineRule="atLeast"/>
              <w:rPr>
                <w:rFonts w:cs="宋体"/>
                <w:b/>
                <w:bCs/>
                <w:szCs w:val="21"/>
              </w:rPr>
            </w:pPr>
            <w:r>
              <w:rPr>
                <w:rFonts w:hint="eastAsia" w:cs="宋体"/>
                <w:b/>
                <w:bCs/>
                <w:szCs w:val="21"/>
              </w:rPr>
              <w:t>序号</w:t>
            </w:r>
          </w:p>
        </w:tc>
        <w:tc>
          <w:tcPr>
            <w:tcW w:w="1907" w:type="dxa"/>
            <w:vAlign w:val="center"/>
          </w:tcPr>
          <w:p>
            <w:pPr>
              <w:pStyle w:val="220"/>
              <w:spacing w:line="360" w:lineRule="atLeast"/>
              <w:rPr>
                <w:rFonts w:cs="宋体"/>
                <w:b/>
                <w:bCs/>
                <w:szCs w:val="21"/>
              </w:rPr>
            </w:pPr>
            <w:r>
              <w:rPr>
                <w:rFonts w:hint="eastAsia" w:cs="宋体"/>
                <w:b/>
                <w:bCs/>
                <w:szCs w:val="21"/>
              </w:rPr>
              <w:t>评分因素</w:t>
            </w:r>
          </w:p>
          <w:p>
            <w:pPr>
              <w:pStyle w:val="220"/>
              <w:spacing w:line="360" w:lineRule="atLeast"/>
              <w:rPr>
                <w:rFonts w:cs="宋体"/>
                <w:b/>
                <w:bCs/>
                <w:szCs w:val="21"/>
              </w:rPr>
            </w:pPr>
            <w:r>
              <w:rPr>
                <w:rFonts w:hint="eastAsia" w:cs="宋体"/>
                <w:b/>
                <w:bCs/>
                <w:szCs w:val="21"/>
              </w:rPr>
              <w:t>及权重</w:t>
            </w:r>
          </w:p>
        </w:tc>
        <w:tc>
          <w:tcPr>
            <w:tcW w:w="960" w:type="dxa"/>
            <w:vAlign w:val="center"/>
          </w:tcPr>
          <w:p>
            <w:pPr>
              <w:pStyle w:val="220"/>
              <w:spacing w:line="360" w:lineRule="atLeast"/>
              <w:rPr>
                <w:rFonts w:cs="宋体"/>
                <w:b/>
                <w:bCs/>
                <w:szCs w:val="21"/>
              </w:rPr>
            </w:pPr>
            <w:r>
              <w:rPr>
                <w:rFonts w:hint="eastAsia" w:cs="宋体"/>
                <w:b/>
                <w:bCs/>
                <w:szCs w:val="21"/>
              </w:rPr>
              <w:t>分　值</w:t>
            </w:r>
          </w:p>
        </w:tc>
        <w:tc>
          <w:tcPr>
            <w:tcW w:w="5004" w:type="dxa"/>
            <w:vAlign w:val="center"/>
          </w:tcPr>
          <w:p>
            <w:pPr>
              <w:pStyle w:val="220"/>
              <w:spacing w:line="360" w:lineRule="atLeast"/>
              <w:rPr>
                <w:rFonts w:cs="宋体"/>
                <w:b/>
                <w:bCs/>
                <w:szCs w:val="21"/>
              </w:rPr>
            </w:pPr>
            <w:r>
              <w:rPr>
                <w:rFonts w:hint="eastAsia" w:cs="宋体"/>
                <w:b/>
                <w:bCs/>
                <w:szCs w:val="21"/>
              </w:rPr>
              <w:t>评分标准</w:t>
            </w:r>
          </w:p>
        </w:tc>
        <w:tc>
          <w:tcPr>
            <w:tcW w:w="1292" w:type="dxa"/>
            <w:vAlign w:val="center"/>
          </w:tcPr>
          <w:p>
            <w:pPr>
              <w:pStyle w:val="220"/>
              <w:spacing w:line="360" w:lineRule="atLeast"/>
              <w:rPr>
                <w:rFonts w:cs="宋体"/>
                <w:b/>
                <w:bCs/>
                <w:szCs w:val="21"/>
              </w:rPr>
            </w:pPr>
            <w:r>
              <w:rPr>
                <w:rFonts w:hint="eastAsia" w:cs="宋体"/>
                <w:b/>
                <w:bCs/>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220"/>
              <w:spacing w:line="360" w:lineRule="atLeast"/>
              <w:rPr>
                <w:rFonts w:cs="宋体"/>
                <w:szCs w:val="21"/>
              </w:rPr>
            </w:pPr>
            <w:r>
              <w:rPr>
                <w:rFonts w:hint="eastAsia" w:cs="宋体"/>
                <w:szCs w:val="21"/>
              </w:rPr>
              <w:t>一</w:t>
            </w:r>
          </w:p>
        </w:tc>
        <w:tc>
          <w:tcPr>
            <w:tcW w:w="1907" w:type="dxa"/>
            <w:vAlign w:val="center"/>
          </w:tcPr>
          <w:p>
            <w:pPr>
              <w:pStyle w:val="220"/>
              <w:spacing w:line="360" w:lineRule="atLeast"/>
              <w:rPr>
                <w:rFonts w:cs="宋体"/>
                <w:szCs w:val="21"/>
              </w:rPr>
            </w:pPr>
            <w:r>
              <w:rPr>
                <w:rFonts w:hint="eastAsia" w:cs="宋体"/>
                <w:szCs w:val="21"/>
              </w:rPr>
              <w:t>报价15%</w:t>
            </w:r>
          </w:p>
        </w:tc>
        <w:tc>
          <w:tcPr>
            <w:tcW w:w="960" w:type="dxa"/>
            <w:vAlign w:val="center"/>
          </w:tcPr>
          <w:p>
            <w:pPr>
              <w:pStyle w:val="220"/>
              <w:spacing w:line="360" w:lineRule="atLeast"/>
              <w:rPr>
                <w:rFonts w:cs="宋体"/>
                <w:szCs w:val="21"/>
              </w:rPr>
            </w:pPr>
            <w:r>
              <w:rPr>
                <w:rFonts w:hint="eastAsia" w:cs="宋体"/>
                <w:szCs w:val="21"/>
              </w:rPr>
              <w:t>15分</w:t>
            </w:r>
          </w:p>
        </w:tc>
        <w:tc>
          <w:tcPr>
            <w:tcW w:w="5004" w:type="dxa"/>
            <w:vAlign w:val="center"/>
          </w:tcPr>
          <w:p>
            <w:pPr>
              <w:pStyle w:val="286"/>
              <w:spacing w:line="360" w:lineRule="atLeast"/>
              <w:ind w:left="42" w:firstLine="480"/>
              <w:rPr>
                <w:rFonts w:cs="宋体"/>
                <w:szCs w:val="21"/>
              </w:rPr>
            </w:pPr>
            <w:r>
              <w:rPr>
                <w:rFonts w:hint="eastAsia" w:cs="宋体"/>
                <w:szCs w:val="21"/>
              </w:rPr>
              <w:t>满足磋商文件要求且最后报价最低的供应商的价格为磋商基准价，其价格分为满分。其他供应商的价格分统一按照下列公式计算：</w:t>
            </w:r>
          </w:p>
          <w:p>
            <w:pPr>
              <w:pStyle w:val="286"/>
              <w:spacing w:line="360" w:lineRule="atLeast"/>
              <w:ind w:left="42" w:firstLine="480"/>
              <w:rPr>
                <w:rFonts w:cs="宋体"/>
                <w:szCs w:val="21"/>
              </w:rPr>
            </w:pPr>
            <w:r>
              <w:rPr>
                <w:rFonts w:hint="eastAsia" w:cs="宋体"/>
                <w:szCs w:val="21"/>
              </w:rPr>
              <w:t>磋商报价得分=(磋商基准价/最后磋商报价)×15%×100；</w:t>
            </w:r>
          </w:p>
          <w:p>
            <w:pPr>
              <w:pStyle w:val="286"/>
              <w:spacing w:line="360" w:lineRule="atLeast"/>
              <w:ind w:left="42" w:firstLine="480"/>
              <w:rPr>
                <w:rFonts w:cs="宋体"/>
                <w:szCs w:val="21"/>
              </w:rPr>
            </w:pPr>
            <w:r>
              <w:rPr>
                <w:rFonts w:hint="eastAsia" w:cs="宋体"/>
                <w:szCs w:val="21"/>
              </w:rPr>
              <w:t>注：项目评审过程中，不得去掉最后报价中的最高报价和最低报价。</w:t>
            </w:r>
          </w:p>
        </w:tc>
        <w:tc>
          <w:tcPr>
            <w:tcW w:w="1292" w:type="dxa"/>
            <w:vAlign w:val="center"/>
          </w:tcPr>
          <w:p>
            <w:pPr>
              <w:pStyle w:val="220"/>
              <w:spacing w:line="360" w:lineRule="atLeast"/>
              <w:rPr>
                <w:rFonts w:cs="宋体"/>
                <w:szCs w:val="21"/>
              </w:rPr>
            </w:pPr>
            <w:r>
              <w:rPr>
                <w:rFonts w:hint="eastAsia" w:cs="宋体"/>
                <w:szCs w:val="21"/>
              </w:rPr>
              <w:t>共同评</w:t>
            </w:r>
          </w:p>
          <w:p>
            <w:pPr>
              <w:pStyle w:val="220"/>
              <w:spacing w:line="360" w:lineRule="atLeast"/>
              <w:rPr>
                <w:rFonts w:cs="宋体"/>
                <w:szCs w:val="21"/>
              </w:rPr>
            </w:pPr>
            <w:r>
              <w:rPr>
                <w:rFonts w:hint="eastAsia" w:cs="宋体"/>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220"/>
              <w:spacing w:line="360" w:lineRule="atLeast"/>
              <w:rPr>
                <w:rFonts w:cs="宋体"/>
                <w:szCs w:val="21"/>
              </w:rPr>
            </w:pPr>
            <w:r>
              <w:rPr>
                <w:rFonts w:hint="eastAsia" w:cs="宋体"/>
                <w:szCs w:val="21"/>
              </w:rPr>
              <w:t>二</w:t>
            </w:r>
          </w:p>
        </w:tc>
        <w:tc>
          <w:tcPr>
            <w:tcW w:w="1907" w:type="dxa"/>
            <w:vAlign w:val="center"/>
          </w:tcPr>
          <w:p>
            <w:pPr>
              <w:pStyle w:val="220"/>
              <w:spacing w:line="360" w:lineRule="atLeast"/>
              <w:rPr>
                <w:rFonts w:cs="宋体"/>
                <w:szCs w:val="21"/>
              </w:rPr>
            </w:pPr>
            <w:r>
              <w:rPr>
                <w:rFonts w:hint="eastAsia" w:cs="宋体"/>
                <w:szCs w:val="21"/>
              </w:rPr>
              <w:t>项目需求分析</w:t>
            </w:r>
          </w:p>
          <w:p>
            <w:pPr>
              <w:pStyle w:val="220"/>
              <w:spacing w:line="360" w:lineRule="atLeast"/>
              <w:rPr>
                <w:rFonts w:cs="宋体"/>
                <w:szCs w:val="21"/>
              </w:rPr>
            </w:pPr>
            <w:r>
              <w:rPr>
                <w:rFonts w:cs="宋体"/>
                <w:szCs w:val="21"/>
              </w:rPr>
              <w:t>9</w:t>
            </w:r>
            <w:r>
              <w:rPr>
                <w:rFonts w:hint="eastAsia" w:cs="宋体"/>
                <w:szCs w:val="21"/>
              </w:rPr>
              <w:t>%</w:t>
            </w:r>
          </w:p>
        </w:tc>
        <w:tc>
          <w:tcPr>
            <w:tcW w:w="960" w:type="dxa"/>
            <w:vAlign w:val="center"/>
          </w:tcPr>
          <w:p>
            <w:pPr>
              <w:pStyle w:val="220"/>
              <w:spacing w:line="360" w:lineRule="atLeast"/>
              <w:rPr>
                <w:rFonts w:cs="宋体"/>
                <w:szCs w:val="21"/>
              </w:rPr>
            </w:pPr>
            <w:r>
              <w:rPr>
                <w:rFonts w:cs="宋体"/>
                <w:szCs w:val="21"/>
              </w:rPr>
              <w:t>9</w:t>
            </w:r>
            <w:r>
              <w:rPr>
                <w:rFonts w:hint="eastAsia" w:cs="宋体"/>
                <w:szCs w:val="21"/>
              </w:rPr>
              <w:t>分</w:t>
            </w:r>
          </w:p>
        </w:tc>
        <w:tc>
          <w:tcPr>
            <w:tcW w:w="5004" w:type="dxa"/>
            <w:vAlign w:val="center"/>
          </w:tcPr>
          <w:p>
            <w:pPr>
              <w:wordWrap w:val="0"/>
              <w:topLinePunct/>
              <w:spacing w:line="360" w:lineRule="atLeast"/>
              <w:ind w:left="42" w:leftChars="20"/>
              <w:rPr>
                <w:rFonts w:asciiTheme="minorEastAsia" w:hAnsiTheme="minorEastAsia" w:cstheme="minorEastAsia"/>
                <w:szCs w:val="21"/>
              </w:rPr>
            </w:pPr>
            <w:r>
              <w:rPr>
                <w:rFonts w:hint="eastAsia" w:cs="宋体"/>
                <w:snapToGrid w:val="0"/>
                <w:szCs w:val="21"/>
              </w:rPr>
              <w:t>供应商针对本项目提供的项目需求分析包含①目前医院污水设备现状及存在的故障分析(</w:t>
            </w:r>
            <w:r>
              <w:rPr>
                <w:rFonts w:hint="eastAsia" w:asciiTheme="minorEastAsia" w:hAnsiTheme="minorEastAsia" w:cstheme="minorEastAsia"/>
                <w:szCs w:val="21"/>
              </w:rPr>
              <w:t>清晰的阐述项目的基本情况，对</w:t>
            </w:r>
            <w:r>
              <w:rPr>
                <w:rFonts w:hint="eastAsia" w:cs="宋体"/>
                <w:snapToGrid w:val="0"/>
                <w:szCs w:val="21"/>
              </w:rPr>
              <w:t>医院污水设备现状及存在的故障分析进行阐述)；②项目现状分析(充分了解本项目的基本情况，对医院污水处理站进水水量及水质、出水水质执行标准、医院污水处理工艺流程进行分析)；③项目重点、难点分析(</w:t>
            </w:r>
            <w:r>
              <w:rPr>
                <w:rFonts w:hint="eastAsia" w:asciiTheme="minorEastAsia" w:hAnsiTheme="minorEastAsia" w:cstheme="minorEastAsia"/>
                <w:snapToGrid w:val="0"/>
                <w:szCs w:val="21"/>
              </w:rPr>
              <w:t>对本项目运行维护工作中的重点难点进行剖析，并提出应对措施及合理化建议</w:t>
            </w:r>
            <w:r>
              <w:rPr>
                <w:rFonts w:hint="eastAsia" w:cs="宋体"/>
                <w:snapToGrid w:val="0"/>
                <w:szCs w:val="21"/>
              </w:rPr>
              <w:t>)等三</w:t>
            </w:r>
            <w:r>
              <w:rPr>
                <w:rFonts w:hint="eastAsia" w:asciiTheme="minorEastAsia" w:hAnsiTheme="minorEastAsia" w:cstheme="minorEastAsia"/>
                <w:szCs w:val="21"/>
              </w:rPr>
              <w:t>个方面的内容。</w:t>
            </w:r>
          </w:p>
          <w:p>
            <w:pPr>
              <w:wordWrap w:val="0"/>
              <w:topLinePunct/>
              <w:spacing w:line="360" w:lineRule="atLeast"/>
              <w:ind w:left="42" w:leftChars="20"/>
              <w:rPr>
                <w:rFonts w:asciiTheme="minorEastAsia" w:hAnsiTheme="minorEastAsia" w:cstheme="minorEastAsia"/>
                <w:szCs w:val="21"/>
              </w:rPr>
            </w:pPr>
            <w:r>
              <w:rPr>
                <w:rFonts w:hint="eastAsia" w:asciiTheme="minorEastAsia" w:hAnsiTheme="minorEastAsia" w:cstheme="minorEastAsia"/>
                <w:szCs w:val="21"/>
              </w:rPr>
              <w:t>根据供应商针对上述三个方面内容在响应文件中的响应情况进行综合评审：每具有一方面内容的得</w:t>
            </w:r>
            <w:r>
              <w:rPr>
                <w:rFonts w:asciiTheme="minorEastAsia" w:hAnsiTheme="minorEastAsia" w:cstheme="minorEastAsia"/>
                <w:szCs w:val="21"/>
              </w:rPr>
              <w:t>3</w:t>
            </w:r>
            <w:r>
              <w:rPr>
                <w:rFonts w:hint="eastAsia" w:asciiTheme="minorEastAsia" w:hAnsiTheme="minorEastAsia" w:cstheme="minorEastAsia"/>
                <w:szCs w:val="21"/>
              </w:rPr>
              <w:t>分，最多得</w:t>
            </w:r>
            <w:r>
              <w:rPr>
                <w:rFonts w:asciiTheme="minorEastAsia" w:hAnsiTheme="minorEastAsia" w:cstheme="minorEastAsia"/>
                <w:szCs w:val="21"/>
              </w:rPr>
              <w:t>9</w:t>
            </w:r>
            <w:r>
              <w:rPr>
                <w:rFonts w:hint="eastAsia" w:asciiTheme="minorEastAsia" w:hAnsiTheme="minorEastAsia" w:cstheme="minorEastAsia"/>
                <w:szCs w:val="21"/>
              </w:rPr>
              <w:t>分；其中每有一处存在缺陷的扣</w:t>
            </w:r>
            <w:r>
              <w:rPr>
                <w:rFonts w:asciiTheme="minorEastAsia" w:hAnsiTheme="minorEastAsia" w:cstheme="minorEastAsia"/>
                <w:szCs w:val="21"/>
              </w:rPr>
              <w:t>1.5</w:t>
            </w:r>
            <w:r>
              <w:rPr>
                <w:rFonts w:hint="eastAsia" w:asciiTheme="minorEastAsia" w:hAnsiTheme="minorEastAsia" w:cstheme="minorEastAsia"/>
                <w:szCs w:val="21"/>
              </w:rPr>
              <w:t>分，每方面最多扣</w:t>
            </w:r>
            <w:r>
              <w:rPr>
                <w:rFonts w:asciiTheme="minorEastAsia" w:hAnsiTheme="minorEastAsia" w:cstheme="minorEastAsia"/>
                <w:szCs w:val="21"/>
              </w:rPr>
              <w:t>3</w:t>
            </w:r>
            <w:r>
              <w:rPr>
                <w:rFonts w:hint="eastAsia" w:asciiTheme="minorEastAsia" w:hAnsiTheme="minorEastAsia" w:cstheme="minorEastAsia"/>
                <w:szCs w:val="21"/>
              </w:rPr>
              <w:t>分。</w:t>
            </w:r>
          </w:p>
          <w:p>
            <w:pPr>
              <w:wordWrap w:val="0"/>
              <w:topLinePunct/>
              <w:spacing w:line="360" w:lineRule="atLeast"/>
              <w:ind w:left="42" w:leftChars="20"/>
              <w:rPr>
                <w:rFonts w:cs="宋体"/>
                <w:szCs w:val="21"/>
              </w:rPr>
            </w:pPr>
            <w:r>
              <w:rPr>
                <w:rFonts w:hint="eastAsia" w:asciiTheme="minorEastAsia" w:hAnsiTheme="minorEastAsia" w:cstheme="minorEastAsia"/>
                <w:szCs w:val="21"/>
              </w:rPr>
              <w:t>注：存在缺陷是指项目名称错误、地点区域错误、内容与本项目需求无关、方案内容矛盾或表述前后不一致、仅有框架或</w:t>
            </w:r>
            <w:r>
              <w:rPr>
                <w:rFonts w:hint="eastAsia" w:cs="宋体"/>
                <w:szCs w:val="21"/>
              </w:rPr>
              <w:t>标题，无与本项目相关的具体描述、适用的标准及技术规范错误、明显复制其他项目内容等任意一种情形。</w:t>
            </w:r>
          </w:p>
        </w:tc>
        <w:tc>
          <w:tcPr>
            <w:tcW w:w="1292" w:type="dxa"/>
            <w:vAlign w:val="center"/>
          </w:tcPr>
          <w:p>
            <w:pPr>
              <w:pStyle w:val="220"/>
              <w:spacing w:line="360" w:lineRule="atLeas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技术类</w:t>
            </w:r>
          </w:p>
          <w:p>
            <w:pPr>
              <w:pStyle w:val="220"/>
              <w:spacing w:line="360" w:lineRule="atLeast"/>
              <w:rPr>
                <w:rFonts w:cs="宋体"/>
                <w:szCs w:val="21"/>
              </w:rPr>
            </w:pPr>
            <w:r>
              <w:rPr>
                <w:rFonts w:hint="eastAsia" w:cs="宋体"/>
                <w:color w:val="000000" w:themeColor="text1"/>
                <w:szCs w:val="21"/>
                <w14:textFill>
                  <w14:solidFill>
                    <w14:schemeClr w14:val="tx1"/>
                  </w14:solidFill>
                </w14:textFill>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220"/>
              <w:spacing w:line="360" w:lineRule="atLeast"/>
              <w:rPr>
                <w:rFonts w:cs="宋体"/>
                <w:szCs w:val="21"/>
              </w:rPr>
            </w:pPr>
            <w:r>
              <w:rPr>
                <w:rFonts w:hint="eastAsia" w:cs="宋体"/>
                <w:szCs w:val="21"/>
              </w:rPr>
              <w:t>三</w:t>
            </w:r>
          </w:p>
        </w:tc>
        <w:tc>
          <w:tcPr>
            <w:tcW w:w="1907" w:type="dxa"/>
            <w:vAlign w:val="center"/>
          </w:tcPr>
          <w:p>
            <w:pPr>
              <w:pStyle w:val="220"/>
              <w:spacing w:line="360" w:lineRule="atLeas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技术服务方案</w:t>
            </w:r>
          </w:p>
          <w:p>
            <w:pPr>
              <w:pStyle w:val="220"/>
              <w:spacing w:line="360" w:lineRule="atLeas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w:t>
            </w:r>
            <w:r>
              <w:rPr>
                <w:rFonts w:cs="宋体"/>
                <w:color w:val="000000" w:themeColor="text1"/>
                <w:szCs w:val="21"/>
                <w14:textFill>
                  <w14:solidFill>
                    <w14:schemeClr w14:val="tx1"/>
                  </w14:solidFill>
                </w14:textFill>
              </w:rPr>
              <w:t>4</w:t>
            </w:r>
            <w:r>
              <w:rPr>
                <w:rFonts w:hint="eastAsia" w:cs="宋体"/>
                <w:color w:val="000000" w:themeColor="text1"/>
                <w:szCs w:val="21"/>
                <w14:textFill>
                  <w14:solidFill>
                    <w14:schemeClr w14:val="tx1"/>
                  </w14:solidFill>
                </w14:textFill>
              </w:rPr>
              <w:t>%</w:t>
            </w:r>
          </w:p>
        </w:tc>
        <w:tc>
          <w:tcPr>
            <w:tcW w:w="960" w:type="dxa"/>
            <w:vAlign w:val="center"/>
          </w:tcPr>
          <w:p>
            <w:pPr>
              <w:pStyle w:val="220"/>
              <w:spacing w:line="360" w:lineRule="atLeast"/>
              <w:rPr>
                <w:rFonts w:cs="宋体"/>
                <w:szCs w:val="21"/>
              </w:rPr>
            </w:pPr>
            <w:r>
              <w:rPr>
                <w:rFonts w:hint="eastAsia" w:cs="宋体"/>
                <w:szCs w:val="21"/>
              </w:rPr>
              <w:t>2</w:t>
            </w:r>
            <w:r>
              <w:rPr>
                <w:rFonts w:cs="宋体"/>
                <w:szCs w:val="21"/>
              </w:rPr>
              <w:t>4</w:t>
            </w:r>
            <w:r>
              <w:rPr>
                <w:rFonts w:hint="eastAsia" w:cs="宋体"/>
                <w:szCs w:val="21"/>
              </w:rPr>
              <w:t>分</w:t>
            </w:r>
          </w:p>
        </w:tc>
        <w:tc>
          <w:tcPr>
            <w:tcW w:w="5004" w:type="dxa"/>
            <w:vAlign w:val="center"/>
          </w:tcPr>
          <w:p>
            <w:pPr>
              <w:wordWrap w:val="0"/>
              <w:topLinePunct/>
              <w:spacing w:line="360" w:lineRule="atLeast"/>
              <w:ind w:left="42" w:leftChars="20"/>
              <w:rPr>
                <w:rFonts w:asciiTheme="minorEastAsia" w:hAnsiTheme="minorEastAsia" w:cstheme="minorEastAsia"/>
                <w:szCs w:val="21"/>
              </w:rPr>
            </w:pPr>
            <w:r>
              <w:rPr>
                <w:rFonts w:hint="eastAsia" w:cs="宋体"/>
                <w:snapToGrid w:val="0"/>
                <w:szCs w:val="21"/>
              </w:rPr>
              <w:t>供应商针对本项目提供的技术服务方案包含</w:t>
            </w:r>
            <w:r>
              <w:rPr>
                <w:rFonts w:hint="eastAsia" w:cs="宋体"/>
                <w:szCs w:val="21"/>
              </w:rPr>
              <w:t>①运营管理制度(</w:t>
            </w:r>
            <w:r>
              <w:rPr>
                <w:rFonts w:hint="eastAsia" w:asciiTheme="minorEastAsia" w:hAnsiTheme="minorEastAsia" w:cstheme="minorEastAsia"/>
                <w:szCs w:val="21"/>
              </w:rPr>
              <w:t>围绕本项目的技术、服务要求，结合项目遵循的技术规范、标准，提出有效的运营管理制度，</w:t>
            </w:r>
            <w:r>
              <w:rPr>
                <w:rFonts w:hint="eastAsia" w:cs="宋体"/>
                <w:szCs w:val="21"/>
              </w:rPr>
              <w:t>包含但不限于运营管理监督检查制度、卫生制度、值班记录填写制度、运行报表管理制度、交接班制度、安全文明生产管理制度、</w:t>
            </w:r>
            <w:r>
              <w:rPr>
                <w:rFonts w:cs="宋体"/>
                <w:snapToGrid w:val="0"/>
                <w:szCs w:val="21"/>
              </w:rPr>
              <w:t>医疗废物管理制度</w:t>
            </w:r>
            <w:r>
              <w:rPr>
                <w:rFonts w:hint="eastAsia" w:cs="宋体"/>
                <w:szCs w:val="21"/>
              </w:rPr>
              <w:t>等)；②设备设施运营制度及维护方案(</w:t>
            </w:r>
            <w:r>
              <w:rPr>
                <w:rFonts w:hint="eastAsia" w:asciiTheme="minorEastAsia" w:hAnsiTheme="minorEastAsia" w:cstheme="minorEastAsia"/>
                <w:szCs w:val="21"/>
              </w:rPr>
              <w:t>围绕本项目的技术、服务要求，结合项目遵循的技术规范、标准，提出有效的</w:t>
            </w:r>
            <w:r>
              <w:rPr>
                <w:rFonts w:hint="eastAsia" w:cs="宋体"/>
                <w:szCs w:val="21"/>
              </w:rPr>
              <w:t>设备设施运营制度及维护方案，</w:t>
            </w:r>
            <w:r>
              <w:rPr>
                <w:rFonts w:hint="eastAsia" w:asciiTheme="minorEastAsia" w:hAnsiTheme="minorEastAsia" w:cstheme="minorEastAsia"/>
                <w:szCs w:val="21"/>
              </w:rPr>
              <w:t>包含但不限于</w:t>
            </w:r>
            <w:r>
              <w:rPr>
                <w:rFonts w:hint="eastAsia" w:cs="宋体"/>
                <w:szCs w:val="21"/>
              </w:rPr>
              <w:t>预处理系统运行与操作规程、二级生化处理系统运行与操作规程、鼓风机运行与操作规程、消毒系统操作规程、仪表安全操作规程、水电工安全操作规程、各处理单元检修规程、进水泵检修规程、各池体检修规程、污泥间检修规程、控制室检修规程、设备检修规程、设备房的维护建议方案、设备定期检修计划、</w:t>
            </w:r>
            <w:r>
              <w:rPr>
                <w:rFonts w:hint="eastAsia" w:cs="宋体"/>
                <w:snapToGrid w:val="0"/>
                <w:szCs w:val="21"/>
              </w:rPr>
              <w:t>巡检维护方案</w:t>
            </w:r>
            <w:r>
              <w:rPr>
                <w:rFonts w:hint="eastAsia" w:cs="宋体"/>
                <w:szCs w:val="21"/>
              </w:rPr>
              <w:t>等)；③污水站运行保障措施(</w:t>
            </w:r>
            <w:r>
              <w:rPr>
                <w:rFonts w:hint="eastAsia" w:asciiTheme="minorEastAsia" w:hAnsiTheme="minorEastAsia" w:cstheme="minorEastAsia"/>
                <w:szCs w:val="21"/>
              </w:rPr>
              <w:t>围绕本项目的技术、服务要求，结合项目遵循的技术规范、标准，对环境保护措施、主要危害因素分析、卫生防疫措施、环境监测计划、池体清淤方案进行阐述)等三个方面的内容。</w:t>
            </w:r>
          </w:p>
          <w:p>
            <w:pPr>
              <w:wordWrap w:val="0"/>
              <w:topLinePunct/>
              <w:spacing w:line="360" w:lineRule="atLeast"/>
              <w:ind w:left="42" w:leftChars="20"/>
              <w:rPr>
                <w:rFonts w:asciiTheme="minorEastAsia" w:hAnsiTheme="minorEastAsia" w:cstheme="minorEastAsia"/>
                <w:szCs w:val="21"/>
              </w:rPr>
            </w:pPr>
            <w:r>
              <w:rPr>
                <w:rFonts w:hint="eastAsia" w:asciiTheme="minorEastAsia" w:hAnsiTheme="minorEastAsia" w:cstheme="minorEastAsia"/>
                <w:szCs w:val="21"/>
              </w:rPr>
              <w:t>根据供应商针对上述三个方面内容在响应文件中的响应情况进行综合评审：每具有一方面内容的得</w:t>
            </w:r>
            <w:r>
              <w:rPr>
                <w:rFonts w:asciiTheme="minorEastAsia" w:hAnsiTheme="minorEastAsia" w:cstheme="minorEastAsia"/>
                <w:szCs w:val="21"/>
              </w:rPr>
              <w:t>8</w:t>
            </w:r>
            <w:r>
              <w:rPr>
                <w:rFonts w:hint="eastAsia" w:asciiTheme="minorEastAsia" w:hAnsiTheme="minorEastAsia" w:cstheme="minorEastAsia"/>
                <w:szCs w:val="21"/>
              </w:rPr>
              <w:t>分，最多得</w:t>
            </w:r>
            <w:r>
              <w:rPr>
                <w:rFonts w:asciiTheme="minorEastAsia" w:hAnsiTheme="minorEastAsia" w:cstheme="minorEastAsia"/>
                <w:szCs w:val="21"/>
              </w:rPr>
              <w:t>24</w:t>
            </w:r>
            <w:r>
              <w:rPr>
                <w:rFonts w:hint="eastAsia" w:asciiTheme="minorEastAsia" w:hAnsiTheme="minorEastAsia" w:cstheme="minorEastAsia"/>
                <w:szCs w:val="21"/>
              </w:rPr>
              <w:t>分；其中每有一处存在缺陷的扣</w:t>
            </w:r>
            <w:r>
              <w:rPr>
                <w:rFonts w:asciiTheme="minorEastAsia" w:hAnsiTheme="minorEastAsia" w:cstheme="minorEastAsia"/>
                <w:szCs w:val="21"/>
              </w:rPr>
              <w:t>4</w:t>
            </w:r>
            <w:r>
              <w:rPr>
                <w:rFonts w:hint="eastAsia" w:asciiTheme="minorEastAsia" w:hAnsiTheme="minorEastAsia" w:cstheme="minorEastAsia"/>
                <w:szCs w:val="21"/>
              </w:rPr>
              <w:t>分，每方面最多扣</w:t>
            </w:r>
            <w:r>
              <w:rPr>
                <w:rFonts w:asciiTheme="minorEastAsia" w:hAnsiTheme="minorEastAsia" w:cstheme="minorEastAsia"/>
                <w:szCs w:val="21"/>
              </w:rPr>
              <w:t>8</w:t>
            </w:r>
            <w:r>
              <w:rPr>
                <w:rFonts w:hint="eastAsia" w:asciiTheme="minorEastAsia" w:hAnsiTheme="minorEastAsia" w:cstheme="minorEastAsia"/>
                <w:szCs w:val="21"/>
              </w:rPr>
              <w:t>分。</w:t>
            </w:r>
          </w:p>
          <w:p>
            <w:pPr>
              <w:wordWrap w:val="0"/>
              <w:topLinePunct/>
              <w:spacing w:line="360" w:lineRule="atLeast"/>
              <w:ind w:left="42" w:leftChars="20"/>
              <w:rPr>
                <w:rFonts w:cs="宋体"/>
                <w:snapToGrid w:val="0"/>
                <w:szCs w:val="21"/>
              </w:rPr>
            </w:pPr>
            <w:r>
              <w:rPr>
                <w:rFonts w:hint="eastAsia" w:asciiTheme="minorEastAsia" w:hAnsiTheme="minorEastAsia" w:cstheme="minorEastAsia"/>
                <w:szCs w:val="21"/>
              </w:rPr>
              <w:t>注：存在缺陷是指项目名称错误、地点区域错误、内容与本项目需求</w:t>
            </w:r>
            <w:r>
              <w:rPr>
                <w:rFonts w:hint="eastAsia" w:cs="宋体"/>
                <w:szCs w:val="21"/>
              </w:rPr>
              <w:t>无关、方案内容矛盾或表述前后不一致、仅有框架或标题，无与本项目相关的具体描述、适用的标准及技术规范错误、明显复制其他项目内容等任意一种情形。</w:t>
            </w:r>
          </w:p>
        </w:tc>
        <w:tc>
          <w:tcPr>
            <w:tcW w:w="1292" w:type="dxa"/>
            <w:vAlign w:val="center"/>
          </w:tcPr>
          <w:p>
            <w:pPr>
              <w:pStyle w:val="220"/>
              <w:spacing w:line="360" w:lineRule="atLeas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技术类</w:t>
            </w:r>
          </w:p>
          <w:p>
            <w:pPr>
              <w:pStyle w:val="220"/>
              <w:spacing w:line="360" w:lineRule="atLeas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220"/>
              <w:spacing w:line="360" w:lineRule="atLeast"/>
              <w:rPr>
                <w:rFonts w:cs="宋体"/>
                <w:szCs w:val="21"/>
              </w:rPr>
            </w:pPr>
            <w:r>
              <w:rPr>
                <w:rFonts w:hint="eastAsia" w:cs="宋体"/>
                <w:szCs w:val="21"/>
              </w:rPr>
              <w:t>四</w:t>
            </w:r>
          </w:p>
        </w:tc>
        <w:tc>
          <w:tcPr>
            <w:tcW w:w="1907" w:type="dxa"/>
            <w:vAlign w:val="center"/>
          </w:tcPr>
          <w:p>
            <w:pPr>
              <w:pStyle w:val="220"/>
              <w:spacing w:line="360" w:lineRule="atLeast"/>
              <w:rPr>
                <w:rFonts w:cs="宋体"/>
                <w:szCs w:val="21"/>
              </w:rPr>
            </w:pPr>
            <w:r>
              <w:rPr>
                <w:rFonts w:hint="eastAsia" w:cs="宋体"/>
                <w:szCs w:val="21"/>
              </w:rPr>
              <w:t>项目实施方案</w:t>
            </w:r>
            <w:r>
              <w:rPr>
                <w:rFonts w:cs="宋体"/>
                <w:szCs w:val="21"/>
              </w:rPr>
              <w:t>27</w:t>
            </w:r>
            <w:r>
              <w:rPr>
                <w:rFonts w:hint="eastAsia" w:cs="宋体"/>
                <w:szCs w:val="21"/>
              </w:rPr>
              <w:t>%</w:t>
            </w:r>
          </w:p>
        </w:tc>
        <w:tc>
          <w:tcPr>
            <w:tcW w:w="960" w:type="dxa"/>
            <w:vAlign w:val="center"/>
          </w:tcPr>
          <w:p>
            <w:pPr>
              <w:pStyle w:val="220"/>
              <w:spacing w:line="360" w:lineRule="atLeast"/>
              <w:rPr>
                <w:rFonts w:cs="宋体"/>
                <w:szCs w:val="21"/>
              </w:rPr>
            </w:pPr>
            <w:r>
              <w:rPr>
                <w:rFonts w:hint="eastAsia" w:cs="宋体"/>
                <w:szCs w:val="21"/>
              </w:rPr>
              <w:t>2</w:t>
            </w:r>
            <w:r>
              <w:rPr>
                <w:rFonts w:cs="宋体"/>
                <w:szCs w:val="21"/>
              </w:rPr>
              <w:t>7</w:t>
            </w:r>
            <w:r>
              <w:rPr>
                <w:rFonts w:hint="eastAsia" w:cs="宋体"/>
                <w:szCs w:val="21"/>
              </w:rPr>
              <w:t>分</w:t>
            </w:r>
          </w:p>
        </w:tc>
        <w:tc>
          <w:tcPr>
            <w:tcW w:w="5004" w:type="dxa"/>
            <w:vAlign w:val="center"/>
          </w:tcPr>
          <w:p>
            <w:pPr>
              <w:wordWrap w:val="0"/>
              <w:topLinePunct/>
              <w:spacing w:line="360" w:lineRule="atLeast"/>
              <w:ind w:left="42" w:leftChars="20"/>
              <w:rPr>
                <w:rFonts w:cs="宋体"/>
                <w:snapToGrid w:val="0"/>
                <w:color w:val="000000" w:themeColor="text1"/>
                <w:szCs w:val="21"/>
                <w14:textFill>
                  <w14:solidFill>
                    <w14:schemeClr w14:val="tx1"/>
                  </w14:solidFill>
                </w14:textFill>
              </w:rPr>
            </w:pPr>
            <w:r>
              <w:rPr>
                <w:rFonts w:hint="eastAsia" w:cs="宋体"/>
                <w:snapToGrid w:val="0"/>
                <w:color w:val="000000" w:themeColor="text1"/>
                <w:szCs w:val="21"/>
                <w14:textFill>
                  <w14:solidFill>
                    <w14:schemeClr w14:val="tx1"/>
                  </w14:solidFill>
                </w14:textFill>
              </w:rPr>
              <w:t>供应商针对本项目提供的项目实施方案包含人员配置及管控②质量保障措施③安全保障措施④培训方案⑤日常运行操作方案⑥应急预案方案等六个方面的内容。根据供应商针对上述六个方面内容在响应文件中的响应情况进行综合评审</w:t>
            </w:r>
            <w:r>
              <w:rPr>
                <w:rFonts w:cs="宋体"/>
                <w:snapToGrid w:val="0"/>
                <w:color w:val="000000" w:themeColor="text1"/>
                <w:szCs w:val="21"/>
                <w14:textFill>
                  <w14:solidFill>
                    <w14:schemeClr w14:val="tx1"/>
                  </w14:solidFill>
                </w14:textFill>
              </w:rPr>
              <w:t>:</w:t>
            </w:r>
          </w:p>
          <w:p>
            <w:pPr>
              <w:wordWrap w:val="0"/>
              <w:topLinePunct/>
              <w:spacing w:line="360" w:lineRule="atLeast"/>
              <w:ind w:left="42" w:leftChars="20"/>
              <w:rPr>
                <w:rFonts w:cs="宋体"/>
                <w:snapToGrid w:val="0"/>
                <w:color w:val="000000" w:themeColor="text1"/>
                <w:szCs w:val="21"/>
                <w14:textFill>
                  <w14:solidFill>
                    <w14:schemeClr w14:val="tx1"/>
                  </w14:solidFill>
                </w14:textFill>
              </w:rPr>
            </w:pPr>
            <w:r>
              <w:rPr>
                <w:rFonts w:hint="eastAsia" w:cs="宋体"/>
                <w:snapToGrid w:val="0"/>
                <w:color w:val="000000" w:themeColor="text1"/>
                <w:szCs w:val="21"/>
                <w14:textFill>
                  <w14:solidFill>
                    <w14:schemeClr w14:val="tx1"/>
                  </w14:solidFill>
                </w14:textFill>
              </w:rPr>
              <w:t>每具有一方面内容的得</w:t>
            </w:r>
            <w:r>
              <w:rPr>
                <w:rFonts w:cs="宋体"/>
                <w:snapToGrid w:val="0"/>
                <w:color w:val="000000" w:themeColor="text1"/>
                <w:szCs w:val="21"/>
                <w14:textFill>
                  <w14:solidFill>
                    <w14:schemeClr w14:val="tx1"/>
                  </w14:solidFill>
                </w14:textFill>
              </w:rPr>
              <w:t>4.5分，最</w:t>
            </w:r>
            <w:r>
              <w:rPr>
                <w:rFonts w:hint="eastAsia" w:cs="宋体"/>
                <w:snapToGrid w:val="0"/>
                <w:color w:val="000000" w:themeColor="text1"/>
                <w:szCs w:val="21"/>
                <w14:textFill>
                  <w14:solidFill>
                    <w14:schemeClr w14:val="tx1"/>
                  </w14:solidFill>
                </w14:textFill>
              </w:rPr>
              <w:t>多得</w:t>
            </w:r>
            <w:r>
              <w:rPr>
                <w:rFonts w:cs="宋体"/>
                <w:snapToGrid w:val="0"/>
                <w:color w:val="000000" w:themeColor="text1"/>
                <w:szCs w:val="21"/>
                <w14:textFill>
                  <w14:solidFill>
                    <w14:schemeClr w14:val="tx1"/>
                  </w14:solidFill>
                </w14:textFill>
              </w:rPr>
              <w:t>27分;其中每有一处存在缺陷</w:t>
            </w:r>
            <w:r>
              <w:rPr>
                <w:rFonts w:hint="eastAsia" w:cs="宋体"/>
                <w:snapToGrid w:val="0"/>
                <w:color w:val="000000" w:themeColor="text1"/>
                <w:szCs w:val="21"/>
                <w14:textFill>
                  <w14:solidFill>
                    <w14:schemeClr w14:val="tx1"/>
                  </w14:solidFill>
                </w14:textFill>
              </w:rPr>
              <w:t>的扣</w:t>
            </w:r>
            <w:r>
              <w:rPr>
                <w:rFonts w:cs="宋体"/>
                <w:snapToGrid w:val="0"/>
                <w:color w:val="000000" w:themeColor="text1"/>
                <w:szCs w:val="21"/>
                <w14:textFill>
                  <w14:solidFill>
                    <w14:schemeClr w14:val="tx1"/>
                  </w14:solidFill>
                </w14:textFill>
              </w:rPr>
              <w:t>2.25分，每方面最多扣4.5分</w:t>
            </w:r>
          </w:p>
          <w:p>
            <w:pPr>
              <w:wordWrap w:val="0"/>
              <w:topLinePunct/>
              <w:spacing w:line="360" w:lineRule="atLeast"/>
              <w:ind w:left="42" w:leftChars="20"/>
              <w:rPr>
                <w:rFonts w:cs="宋体"/>
                <w:snapToGrid w:val="0"/>
                <w:color w:val="000000" w:themeColor="text1"/>
                <w:szCs w:val="21"/>
                <w14:textFill>
                  <w14:solidFill>
                    <w14:schemeClr w14:val="tx1"/>
                  </w14:solidFill>
                </w14:textFill>
              </w:rPr>
            </w:pPr>
            <w:r>
              <w:rPr>
                <w:rFonts w:hint="eastAsia" w:cs="宋体"/>
                <w:snapToGrid w:val="0"/>
                <w:color w:val="000000" w:themeColor="text1"/>
                <w:szCs w:val="21"/>
                <w14:textFill>
                  <w14:solidFill>
                    <w14:schemeClr w14:val="tx1"/>
                  </w14:solidFill>
                </w14:textFill>
              </w:rPr>
              <w:t>注</w:t>
            </w:r>
            <w:r>
              <w:rPr>
                <w:rFonts w:cs="宋体"/>
                <w:snapToGrid w:val="0"/>
                <w:color w:val="000000" w:themeColor="text1"/>
                <w:szCs w:val="21"/>
                <w14:textFill>
                  <w14:solidFill>
                    <w14:schemeClr w14:val="tx1"/>
                  </w14:solidFill>
                </w14:textFill>
              </w:rPr>
              <w:t>:缺陷是指存在项目名称错误</w:t>
            </w:r>
            <w:r>
              <w:rPr>
                <w:rFonts w:hint="eastAsia" w:cs="宋体"/>
                <w:snapToGrid w:val="0"/>
                <w:color w:val="000000" w:themeColor="text1"/>
                <w:szCs w:val="21"/>
                <w14:textFill>
                  <w14:solidFill>
                    <w14:schemeClr w14:val="tx1"/>
                  </w14:solidFill>
                </w14:textFill>
              </w:rPr>
              <w:t>、地点区域错误、内容与本项目需求无关、方案内容矛盾或表述前后不一致、仅有框架或标题、适用的标准及技术规范错误、明显复制其他项目内容等任意一种情形。</w:t>
            </w:r>
          </w:p>
        </w:tc>
        <w:tc>
          <w:tcPr>
            <w:tcW w:w="1292" w:type="dxa"/>
            <w:vAlign w:val="center"/>
          </w:tcPr>
          <w:p>
            <w:pPr>
              <w:pStyle w:val="220"/>
              <w:spacing w:line="360" w:lineRule="atLeas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技术类</w:t>
            </w:r>
          </w:p>
          <w:p>
            <w:pPr>
              <w:pStyle w:val="220"/>
              <w:spacing w:line="360" w:lineRule="atLeas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3" w:type="dxa"/>
            <w:vAlign w:val="center"/>
          </w:tcPr>
          <w:p>
            <w:pPr>
              <w:pStyle w:val="220"/>
              <w:spacing w:line="360" w:lineRule="atLeast"/>
              <w:rPr>
                <w:rFonts w:cs="宋体"/>
                <w:szCs w:val="21"/>
              </w:rPr>
            </w:pPr>
            <w:r>
              <w:rPr>
                <w:rFonts w:hint="eastAsia" w:cs="宋体"/>
                <w:szCs w:val="21"/>
              </w:rPr>
              <w:t>五</w:t>
            </w:r>
          </w:p>
        </w:tc>
        <w:tc>
          <w:tcPr>
            <w:tcW w:w="1907" w:type="dxa"/>
            <w:vAlign w:val="center"/>
          </w:tcPr>
          <w:p>
            <w:pPr>
              <w:pStyle w:val="220"/>
              <w:spacing w:line="360" w:lineRule="atLeast"/>
              <w:rPr>
                <w:rFonts w:cs="宋体"/>
                <w:szCs w:val="21"/>
              </w:rPr>
            </w:pPr>
            <w:r>
              <w:rPr>
                <w:rFonts w:hint="eastAsia" w:cs="宋体"/>
                <w:szCs w:val="21"/>
              </w:rPr>
              <w:t>人员配置要求</w:t>
            </w:r>
          </w:p>
          <w:p>
            <w:pPr>
              <w:pStyle w:val="220"/>
              <w:spacing w:line="360" w:lineRule="atLeast"/>
              <w:rPr>
                <w:rFonts w:cs="宋体"/>
                <w:szCs w:val="21"/>
              </w:rPr>
            </w:pPr>
            <w:r>
              <w:rPr>
                <w:rFonts w:hint="eastAsia" w:cs="宋体"/>
                <w:szCs w:val="21"/>
              </w:rPr>
              <w:t>1</w:t>
            </w:r>
            <w:r>
              <w:rPr>
                <w:rFonts w:cs="宋体"/>
                <w:szCs w:val="21"/>
              </w:rPr>
              <w:t>5</w:t>
            </w:r>
            <w:r>
              <w:rPr>
                <w:rFonts w:hint="eastAsia" w:cs="宋体"/>
                <w:szCs w:val="21"/>
              </w:rPr>
              <w:t>%</w:t>
            </w:r>
          </w:p>
        </w:tc>
        <w:tc>
          <w:tcPr>
            <w:tcW w:w="960" w:type="dxa"/>
            <w:vAlign w:val="center"/>
          </w:tcPr>
          <w:p>
            <w:pPr>
              <w:pStyle w:val="220"/>
              <w:spacing w:line="360" w:lineRule="atLeast"/>
              <w:rPr>
                <w:rFonts w:cs="宋体"/>
                <w:szCs w:val="21"/>
              </w:rPr>
            </w:pPr>
            <w:r>
              <w:rPr>
                <w:rFonts w:hint="eastAsia" w:cs="宋体"/>
                <w:szCs w:val="21"/>
              </w:rPr>
              <w:t>1</w:t>
            </w:r>
            <w:r>
              <w:rPr>
                <w:rFonts w:cs="宋体"/>
                <w:szCs w:val="21"/>
              </w:rPr>
              <w:t>5</w:t>
            </w:r>
            <w:r>
              <w:rPr>
                <w:rFonts w:hint="eastAsia" w:cs="宋体"/>
                <w:szCs w:val="21"/>
              </w:rPr>
              <w:t>分</w:t>
            </w:r>
          </w:p>
        </w:tc>
        <w:tc>
          <w:tcPr>
            <w:tcW w:w="5004" w:type="dxa"/>
            <w:vAlign w:val="center"/>
          </w:tcPr>
          <w:p>
            <w:pPr>
              <w:pStyle w:val="286"/>
              <w:spacing w:line="360" w:lineRule="atLeast"/>
              <w:ind w:left="42" w:firstLine="480"/>
              <w:rPr>
                <w:rFonts w:cs="宋体"/>
                <w:szCs w:val="21"/>
              </w:rPr>
            </w:pPr>
            <w:r>
              <w:rPr>
                <w:rFonts w:hint="eastAsia" w:cs="宋体"/>
                <w:szCs w:val="21"/>
              </w:rPr>
              <w:t>1.供应商拟投入本项目的项目负责人具备环保工程中级及以上职称证书的得3分；本项最多得3分。</w:t>
            </w:r>
          </w:p>
          <w:p>
            <w:pPr>
              <w:pStyle w:val="286"/>
              <w:spacing w:line="360" w:lineRule="atLeast"/>
              <w:ind w:left="42" w:firstLine="480"/>
              <w:rPr>
                <w:rFonts w:cs="宋体"/>
                <w:szCs w:val="21"/>
              </w:rPr>
            </w:pPr>
            <w:r>
              <w:rPr>
                <w:rFonts w:hint="eastAsia" w:cs="宋体"/>
                <w:szCs w:val="21"/>
              </w:rPr>
              <w:t>2.供应商拟投入本项目的项目组成员具有给水排水中级及以上职称证书的得3分。</w:t>
            </w:r>
          </w:p>
          <w:p>
            <w:pPr>
              <w:pStyle w:val="286"/>
              <w:spacing w:line="360" w:lineRule="atLeast"/>
              <w:ind w:left="42" w:firstLine="480"/>
              <w:rPr>
                <w:rFonts w:cs="宋体"/>
                <w:szCs w:val="21"/>
              </w:rPr>
            </w:pPr>
            <w:r>
              <w:rPr>
                <w:rFonts w:hint="eastAsia" w:cs="宋体"/>
                <w:szCs w:val="21"/>
              </w:rPr>
              <w:t>3.供应商拟投入本项目的项目组成员具备自动监控(水)运行工证书的得</w:t>
            </w:r>
            <w:r>
              <w:rPr>
                <w:rFonts w:cs="宋体"/>
                <w:szCs w:val="21"/>
              </w:rPr>
              <w:t>3</w:t>
            </w:r>
            <w:r>
              <w:rPr>
                <w:rFonts w:hint="eastAsia" w:cs="宋体"/>
                <w:szCs w:val="21"/>
              </w:rPr>
              <w:t>分；本项最多得</w:t>
            </w:r>
            <w:r>
              <w:rPr>
                <w:rFonts w:cs="宋体"/>
                <w:szCs w:val="21"/>
              </w:rPr>
              <w:t>3</w:t>
            </w:r>
            <w:r>
              <w:rPr>
                <w:rFonts w:hint="eastAsia" w:cs="宋体"/>
                <w:szCs w:val="21"/>
              </w:rPr>
              <w:t>分。</w:t>
            </w:r>
          </w:p>
          <w:p>
            <w:pPr>
              <w:pStyle w:val="286"/>
              <w:spacing w:line="360" w:lineRule="atLeast"/>
              <w:ind w:left="42" w:firstLine="480"/>
              <w:rPr>
                <w:rFonts w:cs="宋体"/>
              </w:rPr>
            </w:pPr>
            <w:r>
              <w:rPr>
                <w:rFonts w:hint="eastAsia" w:cs="宋体"/>
                <w:szCs w:val="21"/>
              </w:rPr>
              <w:t>4.供应商拟投入本项目的</w:t>
            </w:r>
            <w:r>
              <w:rPr>
                <w:rFonts w:hint="eastAsia" w:cs="宋体"/>
              </w:rPr>
              <w:t>维修技术人员具有中华人民共和国特种作业操作证（作业类别：电工作业）的得2分；具有中华人民共和国特种作业操作证（作业类别：</w:t>
            </w:r>
            <w:r>
              <w:rPr>
                <w:rFonts w:hint="eastAsia"/>
              </w:rPr>
              <w:t>焊接与热切割作业）</w:t>
            </w:r>
            <w:r>
              <w:rPr>
                <w:rFonts w:hint="eastAsia" w:cs="宋体"/>
              </w:rPr>
              <w:t>得2分；具有有限空间作业证的得</w:t>
            </w:r>
            <w:r>
              <w:rPr>
                <w:rFonts w:cs="宋体"/>
              </w:rPr>
              <w:t>2</w:t>
            </w:r>
            <w:r>
              <w:rPr>
                <w:rFonts w:hint="eastAsia" w:cs="宋体"/>
              </w:rPr>
              <w:t>分；本项最多得</w:t>
            </w:r>
            <w:r>
              <w:rPr>
                <w:rFonts w:cs="宋体"/>
              </w:rPr>
              <w:t>6</w:t>
            </w:r>
            <w:r>
              <w:rPr>
                <w:rFonts w:hint="eastAsia" w:cs="宋体"/>
              </w:rPr>
              <w:t>分。</w:t>
            </w:r>
          </w:p>
          <w:p>
            <w:pPr>
              <w:pStyle w:val="286"/>
              <w:spacing w:line="360" w:lineRule="atLeast"/>
              <w:ind w:left="42" w:firstLine="482"/>
              <w:rPr>
                <w:rFonts w:cs="宋体"/>
                <w:b/>
                <w:bCs/>
                <w:szCs w:val="21"/>
              </w:rPr>
            </w:pPr>
            <w:r>
              <w:rPr>
                <w:rFonts w:hint="eastAsia" w:cs="宋体"/>
                <w:b/>
                <w:bCs/>
                <w:szCs w:val="21"/>
              </w:rPr>
              <w:t>注：以上人员不得重复计分；提供人员有效的证书复印件及在职证明材料复印件。</w:t>
            </w:r>
          </w:p>
        </w:tc>
        <w:tc>
          <w:tcPr>
            <w:tcW w:w="1292" w:type="dxa"/>
            <w:vAlign w:val="center"/>
          </w:tcPr>
          <w:p>
            <w:pPr>
              <w:pStyle w:val="220"/>
              <w:spacing w:line="360" w:lineRule="atLeast"/>
              <w:rPr>
                <w:rFonts w:cs="宋体"/>
                <w:szCs w:val="21"/>
              </w:rPr>
            </w:pPr>
            <w:r>
              <w:rPr>
                <w:rFonts w:hint="eastAsia" w:cs="宋体"/>
                <w:szCs w:val="21"/>
              </w:rPr>
              <w:t>共同评</w:t>
            </w:r>
          </w:p>
          <w:p>
            <w:pPr>
              <w:pStyle w:val="220"/>
              <w:spacing w:line="360" w:lineRule="atLeast"/>
              <w:rPr>
                <w:rFonts w:cs="宋体"/>
                <w:szCs w:val="21"/>
              </w:rPr>
            </w:pPr>
            <w:r>
              <w:rPr>
                <w:rFonts w:hint="eastAsia" w:cs="宋体"/>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220"/>
              <w:spacing w:line="360" w:lineRule="atLeast"/>
              <w:rPr>
                <w:rFonts w:cs="宋体"/>
                <w:szCs w:val="21"/>
              </w:rPr>
            </w:pPr>
            <w:r>
              <w:rPr>
                <w:rFonts w:hint="eastAsia" w:cs="宋体"/>
                <w:szCs w:val="21"/>
              </w:rPr>
              <w:t>六</w:t>
            </w:r>
          </w:p>
        </w:tc>
        <w:tc>
          <w:tcPr>
            <w:tcW w:w="1907" w:type="dxa"/>
            <w:vAlign w:val="center"/>
          </w:tcPr>
          <w:p>
            <w:pPr>
              <w:pStyle w:val="220"/>
              <w:spacing w:line="360" w:lineRule="atLeast"/>
              <w:rPr>
                <w:rFonts w:cs="宋体"/>
                <w:szCs w:val="21"/>
              </w:rPr>
            </w:pPr>
            <w:r>
              <w:rPr>
                <w:rFonts w:hint="eastAsia" w:cs="宋体"/>
                <w:szCs w:val="21"/>
              </w:rPr>
              <w:t>履约经验10%</w:t>
            </w:r>
          </w:p>
        </w:tc>
        <w:tc>
          <w:tcPr>
            <w:tcW w:w="960" w:type="dxa"/>
            <w:vAlign w:val="center"/>
          </w:tcPr>
          <w:p>
            <w:pPr>
              <w:pStyle w:val="220"/>
              <w:spacing w:line="360" w:lineRule="atLeast"/>
              <w:rPr>
                <w:rFonts w:cs="宋体"/>
                <w:szCs w:val="21"/>
              </w:rPr>
            </w:pPr>
            <w:r>
              <w:rPr>
                <w:rFonts w:hint="eastAsia" w:cs="宋体"/>
                <w:szCs w:val="21"/>
              </w:rPr>
              <w:t>10分</w:t>
            </w:r>
          </w:p>
        </w:tc>
        <w:tc>
          <w:tcPr>
            <w:tcW w:w="5004" w:type="dxa"/>
            <w:vAlign w:val="center"/>
          </w:tcPr>
          <w:p>
            <w:pPr>
              <w:pStyle w:val="286"/>
              <w:numPr>
                <w:ilvl w:val="0"/>
                <w:numId w:val="11"/>
              </w:numPr>
              <w:tabs>
                <w:tab w:val="clear" w:pos="312"/>
              </w:tabs>
              <w:spacing w:line="360" w:lineRule="atLeast"/>
              <w:ind w:left="42" w:firstLine="480"/>
              <w:rPr>
                <w:rFonts w:cs="宋体"/>
                <w:szCs w:val="21"/>
              </w:rPr>
            </w:pPr>
            <w:r>
              <w:rPr>
                <w:rFonts w:hint="eastAsia" w:cs="宋体"/>
                <w:szCs w:val="21"/>
              </w:rPr>
              <w:t>供应商自2020年1月1日(含)以来具有类似项目履约经验，每提供1个的2分，最多得10分。</w:t>
            </w:r>
          </w:p>
          <w:p>
            <w:pPr>
              <w:pStyle w:val="286"/>
              <w:spacing w:line="360" w:lineRule="atLeast"/>
              <w:rPr>
                <w:rFonts w:cs="宋体"/>
                <w:b/>
                <w:bCs/>
                <w:szCs w:val="21"/>
              </w:rPr>
            </w:pPr>
            <w:r>
              <w:rPr>
                <w:rFonts w:hint="eastAsia" w:cs="宋体"/>
                <w:b/>
                <w:bCs/>
                <w:szCs w:val="21"/>
              </w:rPr>
              <w:t>注：(1)类似项目是指污水处理站运行维护服务；</w:t>
            </w:r>
          </w:p>
          <w:p>
            <w:pPr>
              <w:pStyle w:val="286"/>
              <w:spacing w:line="360" w:lineRule="atLeast"/>
              <w:ind w:left="42" w:firstLine="482"/>
              <w:rPr>
                <w:rFonts w:cs="宋体"/>
                <w:b/>
                <w:bCs/>
                <w:szCs w:val="21"/>
              </w:rPr>
            </w:pPr>
            <w:r>
              <w:rPr>
                <w:rFonts w:hint="eastAsia" w:cs="宋体"/>
                <w:b/>
                <w:bCs/>
                <w:szCs w:val="21"/>
              </w:rPr>
              <w:t>(2)提供项目合同复印件；</w:t>
            </w:r>
          </w:p>
          <w:p>
            <w:pPr>
              <w:pStyle w:val="286"/>
              <w:spacing w:line="360" w:lineRule="atLeast"/>
              <w:ind w:left="42" w:firstLine="482"/>
              <w:rPr>
                <w:rFonts w:cs="宋体"/>
                <w:b/>
                <w:bCs/>
                <w:szCs w:val="21"/>
              </w:rPr>
            </w:pPr>
            <w:r>
              <w:rPr>
                <w:rFonts w:hint="eastAsia" w:cs="宋体"/>
                <w:b/>
                <w:bCs/>
                <w:szCs w:val="21"/>
              </w:rPr>
              <w:t>(3)时间以合同签订时间为准；</w:t>
            </w:r>
          </w:p>
        </w:tc>
        <w:tc>
          <w:tcPr>
            <w:tcW w:w="1292" w:type="dxa"/>
            <w:vAlign w:val="center"/>
          </w:tcPr>
          <w:p>
            <w:pPr>
              <w:pStyle w:val="220"/>
              <w:spacing w:line="360" w:lineRule="atLeast"/>
              <w:rPr>
                <w:rFonts w:cs="宋体"/>
                <w:szCs w:val="21"/>
              </w:rPr>
            </w:pPr>
            <w:r>
              <w:rPr>
                <w:rFonts w:hint="eastAsia" w:cs="宋体"/>
                <w:szCs w:val="21"/>
              </w:rPr>
              <w:t>共同评</w:t>
            </w:r>
          </w:p>
          <w:p>
            <w:pPr>
              <w:pStyle w:val="220"/>
              <w:spacing w:line="360" w:lineRule="atLeast"/>
              <w:rPr>
                <w:rFonts w:cs="宋体"/>
                <w:szCs w:val="21"/>
              </w:rPr>
            </w:pPr>
            <w:r>
              <w:rPr>
                <w:rFonts w:hint="eastAsia" w:cs="宋体"/>
                <w:szCs w:val="21"/>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6" w:type="dxa"/>
            <w:gridSpan w:val="5"/>
            <w:tcBorders>
              <w:top w:val="single" w:color="auto" w:sz="4" w:space="0"/>
              <w:left w:val="single" w:color="auto" w:sz="4" w:space="0"/>
              <w:bottom w:val="single" w:color="auto" w:sz="4" w:space="0"/>
              <w:right w:val="single" w:color="auto" w:sz="4" w:space="0"/>
            </w:tcBorders>
            <w:vAlign w:val="center"/>
          </w:tcPr>
          <w:p>
            <w:pPr>
              <w:pStyle w:val="220"/>
              <w:spacing w:line="360" w:lineRule="atLeast"/>
              <w:jc w:val="both"/>
              <w:rPr>
                <w:rFonts w:cs="宋体"/>
                <w:szCs w:val="21"/>
              </w:rPr>
            </w:pPr>
            <w:r>
              <w:rPr>
                <w:rFonts w:hint="eastAsia" w:cs="宋体"/>
                <w:szCs w:val="21"/>
              </w:rPr>
              <w:t>注：</w:t>
            </w:r>
            <w:r>
              <w:rPr>
                <w:rFonts w:hint="eastAsia" w:cs="宋体"/>
                <w:szCs w:val="21"/>
              </w:rPr>
              <w:fldChar w:fldCharType="begin"/>
            </w:r>
            <w:r>
              <w:rPr>
                <w:rFonts w:hint="eastAsia" w:cs="宋体"/>
                <w:szCs w:val="21"/>
              </w:rPr>
              <w:instrText xml:space="preserve"> = 1 \* GB3 \* MERGEFORMAT </w:instrText>
            </w:r>
            <w:r>
              <w:rPr>
                <w:rFonts w:hint="eastAsia" w:cs="宋体"/>
                <w:szCs w:val="21"/>
              </w:rPr>
              <w:fldChar w:fldCharType="separate"/>
            </w:r>
            <w:r>
              <w:rPr>
                <w:rFonts w:hint="eastAsia" w:cs="宋体"/>
                <w:szCs w:val="21"/>
              </w:rPr>
              <w:t>①</w:t>
            </w:r>
            <w:r>
              <w:rPr>
                <w:rFonts w:hint="eastAsia" w:cs="宋体"/>
                <w:szCs w:val="21"/>
              </w:rPr>
              <w:fldChar w:fldCharType="end"/>
            </w:r>
            <w:r>
              <w:rPr>
                <w:rFonts w:hint="eastAsia" w:cs="宋体"/>
                <w:szCs w:val="21"/>
              </w:rPr>
              <w:t>上述各项评分的取值按四舍五入法，小数点后保留两位。</w:t>
            </w:r>
          </w:p>
          <w:p>
            <w:pPr>
              <w:pStyle w:val="220"/>
              <w:spacing w:line="360" w:lineRule="atLeast"/>
              <w:jc w:val="both"/>
              <w:rPr>
                <w:rFonts w:cs="宋体"/>
                <w:szCs w:val="21"/>
              </w:rPr>
            </w:pPr>
            <w:r>
              <w:rPr>
                <w:rFonts w:hint="eastAsia" w:cs="宋体"/>
                <w:szCs w:val="21"/>
              </w:rPr>
              <w:fldChar w:fldCharType="begin"/>
            </w:r>
            <w:r>
              <w:rPr>
                <w:rFonts w:hint="eastAsia" w:cs="宋体"/>
                <w:szCs w:val="21"/>
              </w:rPr>
              <w:instrText xml:space="preserve"> = 2 \* GB3 \* MERGEFORMAT </w:instrText>
            </w:r>
            <w:r>
              <w:rPr>
                <w:rFonts w:hint="eastAsia" w:cs="宋体"/>
                <w:szCs w:val="21"/>
              </w:rPr>
              <w:fldChar w:fldCharType="separate"/>
            </w:r>
            <w:r>
              <w:rPr>
                <w:rFonts w:hint="eastAsia" w:cs="宋体"/>
                <w:szCs w:val="21"/>
              </w:rPr>
              <w:t>②</w:t>
            </w:r>
            <w:r>
              <w:rPr>
                <w:rFonts w:hint="eastAsia" w:cs="宋体"/>
                <w:szCs w:val="21"/>
              </w:rPr>
              <w:fldChar w:fldCharType="end"/>
            </w:r>
            <w:r>
              <w:rPr>
                <w:rFonts w:hint="eastAsia" w:cs="宋体"/>
                <w:szCs w:val="21"/>
              </w:rPr>
              <w:t>本表中要求提供各类证明材料应清晰可辩，均需加盖供应商单位公章，否则将不认可该项材料的有效性。</w:t>
            </w:r>
          </w:p>
          <w:p>
            <w:pPr>
              <w:pStyle w:val="220"/>
              <w:spacing w:line="360" w:lineRule="atLeast"/>
              <w:jc w:val="both"/>
              <w:rPr>
                <w:rFonts w:cs="宋体"/>
                <w:szCs w:val="21"/>
              </w:rPr>
            </w:pPr>
            <w:r>
              <w:rPr>
                <w:rFonts w:hint="eastAsia" w:cs="宋体"/>
                <w:szCs w:val="21"/>
              </w:rPr>
              <w:t>③本项目不涉及节能、环境标志、无线局域网产品参与磋商，在评审标准中不作体现。</w:t>
            </w:r>
          </w:p>
        </w:tc>
      </w:tr>
    </w:tbl>
    <w:p>
      <w:pPr>
        <w:rPr>
          <w:rFonts w:ascii="宋体" w:hAnsi="宋体" w:cs="宋体"/>
          <w:color w:val="000000"/>
          <w:sz w:val="24"/>
        </w:rPr>
      </w:pPr>
    </w:p>
    <w:p>
      <w:pPr>
        <w:rPr>
          <w:vanish/>
          <w:color w:val="000000"/>
        </w:rPr>
      </w:pPr>
    </w:p>
    <w:p>
      <w:pPr>
        <w:spacing w:line="360" w:lineRule="auto"/>
        <w:rPr>
          <w:rFonts w:ascii="宋体" w:hAnsi="宋体"/>
          <w:bCs/>
          <w:color w:val="000000"/>
          <w:sz w:val="24"/>
        </w:rPr>
      </w:pPr>
      <w:r>
        <w:rPr>
          <w:rFonts w:hint="eastAsia" w:ascii="宋体" w:hAnsi="宋体"/>
          <w:bCs/>
          <w:color w:val="000000"/>
          <w:sz w:val="24"/>
        </w:rPr>
        <w:t>注：评分的取值按四舍五入法，保留小数点后两位。</w:t>
      </w:r>
      <w:bookmarkStart w:id="411" w:name="_Toc320624265"/>
      <w:bookmarkEnd w:id="411"/>
      <w:bookmarkStart w:id="412" w:name="_Toc320624260"/>
      <w:bookmarkEnd w:id="412"/>
      <w:bookmarkStart w:id="413" w:name="_Toc320624290"/>
      <w:bookmarkEnd w:id="413"/>
      <w:bookmarkStart w:id="414" w:name="_Toc315871658"/>
      <w:bookmarkEnd w:id="414"/>
      <w:bookmarkStart w:id="415" w:name="_Toc318206701"/>
      <w:bookmarkEnd w:id="415"/>
      <w:bookmarkStart w:id="416" w:name="_Toc320624275"/>
      <w:bookmarkEnd w:id="416"/>
      <w:bookmarkStart w:id="417" w:name="_Toc320624295"/>
      <w:bookmarkEnd w:id="417"/>
      <w:bookmarkStart w:id="418" w:name="_Toc320624255"/>
      <w:bookmarkEnd w:id="418"/>
      <w:bookmarkStart w:id="419" w:name="_Toc315871725"/>
      <w:bookmarkEnd w:id="419"/>
      <w:bookmarkStart w:id="420" w:name="_Toc320624285"/>
      <w:bookmarkEnd w:id="420"/>
      <w:bookmarkStart w:id="421" w:name="_Toc320624280"/>
      <w:bookmarkEnd w:id="421"/>
      <w:bookmarkStart w:id="422" w:name="_Toc315871656"/>
      <w:bookmarkEnd w:id="422"/>
      <w:bookmarkStart w:id="423" w:name="_Toc320624240"/>
      <w:bookmarkEnd w:id="423"/>
      <w:bookmarkStart w:id="424" w:name="_Toc315871657"/>
      <w:bookmarkEnd w:id="424"/>
    </w:p>
    <w:bookmarkEnd w:id="406"/>
    <w:bookmarkEnd w:id="407"/>
    <w:bookmarkEnd w:id="408"/>
    <w:p>
      <w:pPr>
        <w:spacing w:line="360" w:lineRule="auto"/>
        <w:outlineLvl w:val="1"/>
        <w:rPr>
          <w:rFonts w:ascii="宋体" w:hAnsi="宋体" w:cs="宋体"/>
          <w:b/>
          <w:color w:val="000000"/>
          <w:sz w:val="24"/>
        </w:rPr>
      </w:pPr>
      <w:bookmarkStart w:id="425" w:name="_Toc9543"/>
      <w:bookmarkStart w:id="426" w:name="_Toc448150560"/>
      <w:bookmarkStart w:id="427" w:name="_Toc25076"/>
      <w:bookmarkStart w:id="428" w:name="_Toc421005915"/>
      <w:r>
        <w:rPr>
          <w:rFonts w:hint="eastAsia" w:ascii="宋体" w:hAnsi="宋体" w:cs="宋体"/>
          <w:b/>
          <w:color w:val="000000"/>
          <w:sz w:val="24"/>
        </w:rPr>
        <w:t>5.复核</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（一）评标委员会复核</w:t>
      </w:r>
    </w:p>
    <w:p>
      <w:pPr>
        <w:spacing w:line="360" w:lineRule="auto"/>
        <w:ind w:firstLine="480" w:firstLineChars="200"/>
        <w:rPr>
          <w:rFonts w:ascii="宋体" w:hAnsi="宋体" w:cs="宋体"/>
          <w:color w:val="000000"/>
          <w:sz w:val="24"/>
        </w:rPr>
      </w:pPr>
      <w:r>
        <w:rPr>
          <w:rFonts w:hint="eastAsia" w:ascii="宋体" w:hAnsi="宋体" w:cs="宋体"/>
          <w:color w:val="000000"/>
          <w:sz w:val="24"/>
        </w:rPr>
        <w:t>评分汇总结束后，评标委员会应当进行复核，特别要对拟推荐为中标候选投标人的、报价最低的、投标文件被认定为无效的进行重点复核。</w:t>
      </w:r>
    </w:p>
    <w:p>
      <w:pPr>
        <w:spacing w:line="360" w:lineRule="auto"/>
        <w:ind w:firstLine="480" w:firstLineChars="200"/>
        <w:rPr>
          <w:rFonts w:ascii="宋体" w:hAnsi="宋体" w:cs="宋体"/>
          <w:color w:val="000000"/>
          <w:sz w:val="24"/>
        </w:rPr>
      </w:pPr>
      <w:r>
        <w:rPr>
          <w:rFonts w:hint="eastAsia" w:ascii="宋体" w:hAnsi="宋体" w:cs="宋体"/>
          <w:color w:val="000000"/>
          <w:sz w:val="24"/>
        </w:rPr>
        <w:t>（二）采购代理机构现场复核评审结果</w:t>
      </w:r>
    </w:p>
    <w:p>
      <w:pPr>
        <w:spacing w:line="360" w:lineRule="auto"/>
        <w:ind w:firstLine="480" w:firstLineChars="200"/>
        <w:rPr>
          <w:rFonts w:ascii="宋体" w:hAnsi="宋体" w:cs="宋体"/>
          <w:color w:val="000000"/>
          <w:sz w:val="24"/>
        </w:rPr>
      </w:pPr>
      <w:r>
        <w:rPr>
          <w:rFonts w:hint="eastAsia" w:ascii="宋体" w:hAnsi="宋体" w:cs="宋体"/>
          <w:color w:val="000000"/>
          <w:sz w:val="24"/>
        </w:rPr>
        <w:t>1.评审结果汇总完成后，评审委员会拟出具评标报告前，采购组织单位应当组织2名以上的本单位工作人员，在采购现场监督人员的监督之下，依据有关的法律制度和采购文件对评审结果进行复核，出具复核报告，存在下列情形之一的，应当根据情况要求评标委员会现场修改评标结果或者重新评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1.1分值汇总计算错误的；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1.2分项评分超出评分标准范围的；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1.3评标委员会成员对客观评审因素评分不一致的；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1.4经评标委员会认定评分畸高、畸低的。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存在本条上述规定情形的，由评标委员会自主决定是否采纳招标采购单位的书面建议，并承担独立评审责任。评标委员会采纳招标采购单位书面建议的，应当按照规定现场修改评标结果或者重新评标，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0" w:firstLineChars="200"/>
        <w:rPr>
          <w:rFonts w:ascii="宋体" w:hAnsi="宋体" w:cs="宋体"/>
          <w:color w:val="000000"/>
          <w:sz w:val="24"/>
        </w:rPr>
      </w:pPr>
      <w:r>
        <w:rPr>
          <w:rFonts w:hint="eastAsia" w:ascii="宋体" w:hAnsi="宋体" w:cs="宋体"/>
          <w:color w:val="000000"/>
          <w:sz w:val="24"/>
        </w:rPr>
        <w:t>2.招标采购单位复核过程中，评标委员会不得离开评标现场。</w:t>
      </w:r>
    </w:p>
    <w:p>
      <w:pPr>
        <w:spacing w:line="360" w:lineRule="auto"/>
        <w:ind w:firstLine="480" w:firstLineChars="200"/>
        <w:rPr>
          <w:rFonts w:ascii="宋体" w:hAnsi="宋体" w:cs="宋体"/>
          <w:color w:val="000000"/>
          <w:sz w:val="24"/>
        </w:rPr>
      </w:pPr>
      <w:r>
        <w:rPr>
          <w:rFonts w:hint="eastAsia" w:ascii="宋体" w:hAnsi="宋体" w:cs="宋体"/>
          <w:color w:val="000000"/>
          <w:sz w:val="24"/>
        </w:rPr>
        <w:t>3.有下列情形之一的，不得修改评标结果或者重新评标：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3.1评标委员会已经出具评标报告并且离开评标现场的；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3.2招标采购单位现场复核时，复核工作人员数量不足的；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3.3招标采购单位现场复核时，没有采购监督人员现场监督的；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3.4招标采购单位现场复核内容超出规定范围的；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3.5招标采购单位未提供书面建议的。</w:t>
      </w:r>
    </w:p>
    <w:p>
      <w:pPr>
        <w:spacing w:line="360" w:lineRule="auto"/>
        <w:outlineLvl w:val="1"/>
        <w:rPr>
          <w:rFonts w:ascii="宋体" w:hAnsi="宋体" w:cs="宋体"/>
          <w:b/>
          <w:color w:val="000000"/>
          <w:sz w:val="24"/>
        </w:rPr>
      </w:pPr>
      <w:r>
        <w:rPr>
          <w:rFonts w:hint="eastAsia" w:ascii="宋体" w:hAnsi="宋体" w:cs="宋体"/>
          <w:b/>
          <w:color w:val="000000"/>
          <w:sz w:val="24"/>
        </w:rPr>
        <w:t>6.推荐中标候选投标人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中标候选投标人数量应当根据招标文件的规定确定，但必须按顺序排列中标候选投标人。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评标委员会可推荐的中标候选投标人数量不能满足招标文件规定的数量的，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只有在获得采购人书面同意后，可以根据实际情况推荐中标候选投标人。未获得采购人的书面同意,评标委员会不得在招标文件规定之外推荐中标候选投标人，否则，采购人可以不予认可。</w:t>
      </w:r>
    </w:p>
    <w:p>
      <w:pPr>
        <w:spacing w:line="360" w:lineRule="auto"/>
        <w:outlineLvl w:val="1"/>
        <w:rPr>
          <w:rFonts w:ascii="宋体" w:hAnsi="宋体" w:cs="宋体"/>
          <w:b/>
          <w:color w:val="000000"/>
          <w:sz w:val="24"/>
        </w:rPr>
      </w:pPr>
      <w:r>
        <w:rPr>
          <w:rFonts w:hint="eastAsia" w:ascii="宋体" w:hAnsi="宋体" w:cs="宋体"/>
          <w:b/>
          <w:color w:val="000000"/>
          <w:sz w:val="24"/>
        </w:rPr>
        <w:t>7.出具评标报告</w:t>
      </w:r>
    </w:p>
    <w:p>
      <w:pPr>
        <w:spacing w:line="360" w:lineRule="auto"/>
        <w:ind w:firstLine="480" w:firstLineChars="200"/>
        <w:rPr>
          <w:rFonts w:ascii="宋体" w:hAnsi="宋体" w:cs="宋体"/>
          <w:color w:val="000000"/>
          <w:sz w:val="24"/>
        </w:rPr>
      </w:pPr>
      <w:r>
        <w:rPr>
          <w:rFonts w:hint="eastAsia" w:ascii="宋体" w:hAnsi="宋体" w:cs="宋体"/>
          <w:color w:val="000000"/>
          <w:sz w:val="24"/>
        </w:rPr>
        <w:t>评标委员会推荐中标候选投标人后，应当向招标采购单位出具评标报告。评标报告应当包括下列内容：</w:t>
      </w:r>
    </w:p>
    <w:p>
      <w:pPr>
        <w:spacing w:line="360" w:lineRule="auto"/>
        <w:ind w:firstLine="480" w:firstLineChars="200"/>
        <w:rPr>
          <w:rFonts w:ascii="宋体" w:hAnsi="宋体" w:cs="宋体"/>
          <w:color w:val="000000"/>
          <w:sz w:val="24"/>
        </w:rPr>
      </w:pPr>
      <w:r>
        <w:rPr>
          <w:rFonts w:hint="eastAsia" w:ascii="宋体" w:hAnsi="宋体" w:cs="宋体"/>
          <w:color w:val="000000"/>
          <w:sz w:val="24"/>
        </w:rPr>
        <w:t>1.招标公告刊登的媒体名称、开标日期和地点；</w:t>
      </w:r>
    </w:p>
    <w:p>
      <w:pPr>
        <w:spacing w:line="360" w:lineRule="auto"/>
        <w:ind w:firstLine="480" w:firstLineChars="200"/>
        <w:rPr>
          <w:rFonts w:ascii="宋体" w:hAnsi="宋体" w:cs="宋体"/>
          <w:color w:val="000000"/>
          <w:sz w:val="24"/>
        </w:rPr>
      </w:pPr>
      <w:r>
        <w:rPr>
          <w:rFonts w:hint="eastAsia" w:ascii="宋体" w:hAnsi="宋体" w:cs="宋体"/>
          <w:color w:val="000000"/>
          <w:sz w:val="24"/>
        </w:rPr>
        <w:t>2.投标人名单和评标委员会成员名单；</w:t>
      </w:r>
    </w:p>
    <w:p>
      <w:pPr>
        <w:spacing w:line="360" w:lineRule="auto"/>
        <w:ind w:firstLine="480" w:firstLineChars="200"/>
        <w:rPr>
          <w:rFonts w:ascii="宋体" w:hAnsi="宋体" w:cs="宋体"/>
          <w:color w:val="000000"/>
          <w:sz w:val="24"/>
        </w:rPr>
      </w:pPr>
      <w:r>
        <w:rPr>
          <w:rFonts w:hint="eastAsia" w:ascii="宋体" w:hAnsi="宋体" w:cs="宋体"/>
          <w:color w:val="000000"/>
          <w:sz w:val="24"/>
        </w:rPr>
        <w:t>3.评标方法和标准；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4.开标记录和评标情况及说明，包括无效投标人名单及原因；</w:t>
      </w:r>
    </w:p>
    <w:p>
      <w:pPr>
        <w:spacing w:line="360" w:lineRule="auto"/>
        <w:ind w:firstLine="480" w:firstLineChars="200"/>
        <w:rPr>
          <w:rFonts w:ascii="宋体" w:hAnsi="宋体" w:cs="宋体"/>
          <w:color w:val="000000"/>
          <w:sz w:val="24"/>
        </w:rPr>
      </w:pPr>
      <w:r>
        <w:rPr>
          <w:rFonts w:hint="eastAsia" w:ascii="宋体" w:hAnsi="宋体" w:cs="宋体"/>
          <w:color w:val="000000"/>
          <w:sz w:val="24"/>
        </w:rPr>
        <w:t>5.评标结果，确定的中标候选人名单或者经采购人委托直接确定的中标人；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6.其他需要说明的情况，包括评标过程中投标人根据评标委员会要求进行的澄清、说明或者补正，评标委员会成员的更换等。</w:t>
      </w:r>
    </w:p>
    <w:p>
      <w:pPr>
        <w:spacing w:line="360" w:lineRule="auto"/>
        <w:ind w:firstLine="480" w:firstLineChars="200"/>
        <w:rPr>
          <w:rFonts w:ascii="宋体" w:hAnsi="宋体" w:cs="宋体"/>
          <w:color w:val="000000"/>
          <w:sz w:val="24"/>
        </w:rPr>
      </w:pPr>
      <w:r>
        <w:rPr>
          <w:rFonts w:hint="eastAsia" w:ascii="宋体" w:hAnsi="宋体" w:cs="宋体"/>
          <w:color w:val="000000"/>
          <w:sz w:val="24"/>
        </w:rPr>
        <w:t>注：评标委员会成员应当在评标报告中签字确认，对评标过程和结果有不同意见的，应当在评标报告中写明并说明理由。签字但不写明不同意见或者不说明理由的，视同无意见。拒不签字又不另行书面说明其不同意见和理由的，视同同意评标结果。</w:t>
      </w:r>
    </w:p>
    <w:p>
      <w:pPr>
        <w:spacing w:line="360" w:lineRule="auto"/>
        <w:outlineLvl w:val="1"/>
        <w:rPr>
          <w:rFonts w:ascii="宋体" w:hAnsi="宋体" w:cs="宋体"/>
          <w:b/>
          <w:color w:val="000000"/>
          <w:sz w:val="24"/>
        </w:rPr>
      </w:pPr>
      <w:r>
        <w:rPr>
          <w:rFonts w:hint="eastAsia" w:ascii="宋体" w:hAnsi="宋体" w:cs="宋体"/>
          <w:b/>
          <w:color w:val="000000"/>
          <w:sz w:val="24"/>
        </w:rPr>
        <w:t>8.废标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本次政府采购活动中，出现下列情形之一的，予以废标：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1．符合专业条件的投标人或者对招标文件作实质响应的投标人不足三家的；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2．出现影响采购公正的违法、违规行为的；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3．投标人的报价均超过了采购预算或最高限价，采购人不能支付的；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4．因重大变故，采购任务取消的。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废标后，采购代理机构应在</w:t>
      </w:r>
      <w:r>
        <w:rPr>
          <w:rFonts w:hint="eastAsia" w:ascii="宋体" w:hAnsi="宋体" w:cs="宋体"/>
          <w:color w:val="000000"/>
          <w:sz w:val="24"/>
          <w:lang w:eastAsia="zh-CN"/>
        </w:rPr>
        <w:t>中国政府采购网</w:t>
      </w:r>
      <w:r>
        <w:rPr>
          <w:rFonts w:hint="eastAsia" w:ascii="宋体" w:hAnsi="宋体" w:cs="宋体"/>
          <w:color w:val="000000"/>
          <w:sz w:val="24"/>
        </w:rPr>
        <w:t>网公告，并公告废标的理由。对于废标的采购项目，评标委员会应当对招标文件是否存在倾向性和歧视性、是否存在不合理条款进行论证，并出具书面论证意见。</w:t>
      </w:r>
    </w:p>
    <w:p>
      <w:pPr>
        <w:spacing w:line="360" w:lineRule="auto"/>
        <w:outlineLvl w:val="1"/>
        <w:rPr>
          <w:rFonts w:ascii="宋体" w:hAnsi="宋体" w:cs="宋体"/>
          <w:b/>
          <w:color w:val="000000"/>
          <w:sz w:val="24"/>
        </w:rPr>
      </w:pPr>
      <w:r>
        <w:rPr>
          <w:rFonts w:hint="eastAsia" w:ascii="宋体" w:hAnsi="宋体" w:cs="宋体"/>
          <w:b/>
          <w:color w:val="000000"/>
          <w:sz w:val="24"/>
        </w:rPr>
        <w:t>9.定标</w:t>
      </w:r>
    </w:p>
    <w:p>
      <w:pPr>
        <w:numPr>
          <w:ilvl w:val="0"/>
          <w:numId w:val="12"/>
        </w:numPr>
        <w:spacing w:line="360" w:lineRule="auto"/>
        <w:ind w:left="0" w:firstLine="480" w:firstLineChars="200"/>
        <w:rPr>
          <w:rFonts w:ascii="宋体" w:hAnsi="宋体" w:cs="宋体"/>
          <w:color w:val="000000"/>
          <w:sz w:val="24"/>
        </w:rPr>
      </w:pPr>
      <w:r>
        <w:rPr>
          <w:rFonts w:hint="eastAsia" w:ascii="宋体" w:hAnsi="宋体" w:cs="宋体"/>
          <w:color w:val="000000"/>
          <w:sz w:val="24"/>
        </w:rPr>
        <w:t>定标原则：本项目根据评委会推荐的中标候选人名单，按顺序确定中标人。</w:t>
      </w:r>
    </w:p>
    <w:p>
      <w:pPr>
        <w:numPr>
          <w:ilvl w:val="0"/>
          <w:numId w:val="12"/>
        </w:numPr>
        <w:spacing w:line="360" w:lineRule="auto"/>
        <w:ind w:left="0" w:firstLine="480" w:firstLineChars="200"/>
        <w:rPr>
          <w:rFonts w:ascii="宋体" w:hAnsi="宋体" w:cs="宋体"/>
          <w:color w:val="000000"/>
          <w:sz w:val="24"/>
        </w:rPr>
      </w:pPr>
      <w:r>
        <w:rPr>
          <w:rFonts w:hint="eastAsia" w:ascii="宋体" w:hAnsi="宋体" w:cs="宋体"/>
          <w:color w:val="000000"/>
          <w:sz w:val="24"/>
        </w:rPr>
        <w:t>定标程序</w:t>
      </w:r>
    </w:p>
    <w:p>
      <w:pPr>
        <w:spacing w:line="360" w:lineRule="auto"/>
        <w:ind w:firstLine="480" w:firstLineChars="200"/>
        <w:rPr>
          <w:rFonts w:ascii="宋体" w:hAnsi="宋体" w:cs="宋体"/>
          <w:color w:val="000000"/>
          <w:sz w:val="24"/>
        </w:rPr>
      </w:pPr>
      <w:r>
        <w:rPr>
          <w:rFonts w:hint="eastAsia" w:ascii="宋体" w:hAnsi="宋体" w:cs="宋体"/>
          <w:color w:val="000000"/>
          <w:sz w:val="24"/>
        </w:rPr>
        <w:t>1．评委会将评标情况写出书面报告，推荐三名中标候选人，并按照综合得分高低标明排列顺序。</w:t>
      </w:r>
    </w:p>
    <w:p>
      <w:pPr>
        <w:spacing w:line="360" w:lineRule="auto"/>
        <w:ind w:firstLine="480" w:firstLineChars="200"/>
        <w:rPr>
          <w:rFonts w:ascii="宋体" w:hAnsi="宋体" w:cs="宋体"/>
          <w:color w:val="000000"/>
          <w:sz w:val="24"/>
        </w:rPr>
      </w:pPr>
      <w:r>
        <w:rPr>
          <w:rFonts w:hint="eastAsia" w:ascii="宋体" w:hAnsi="宋体" w:cs="宋体"/>
          <w:color w:val="000000"/>
          <w:sz w:val="24"/>
        </w:rPr>
        <w:t>2．采购代理机构在评标结束后2个工作日内将评标报告送采购人。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3．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4．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投标人；报价相同且满足招标文件全部实质性要求且按照评审因素的量化指标评审得分也相同的并列，由采购人自主采取公平、择优的方式选择中标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注：采购人按照推荐的中标候选投标人顺序确定中标人，不能认为采购人只能确定第一中标候选投标人为中标人，采购人有正当理由的，可以确定后一顺序中标候选投标人为中标人，依次类推。</w:t>
      </w:r>
    </w:p>
    <w:p>
      <w:pPr>
        <w:spacing w:line="360" w:lineRule="auto"/>
        <w:ind w:firstLine="480" w:firstLineChars="200"/>
        <w:rPr>
          <w:rFonts w:ascii="宋体" w:hAnsi="宋体" w:cs="宋体"/>
          <w:color w:val="000000"/>
          <w:sz w:val="24"/>
        </w:rPr>
      </w:pPr>
      <w:r>
        <w:rPr>
          <w:rFonts w:hint="eastAsia" w:ascii="宋体" w:hAnsi="宋体" w:cs="宋体"/>
          <w:color w:val="000000"/>
          <w:sz w:val="24"/>
        </w:rPr>
        <w:t>5．根据采购人确定的中标人，采购代理机构在</w:t>
      </w:r>
      <w:r>
        <w:rPr>
          <w:rFonts w:hint="eastAsia" w:ascii="宋体" w:hAnsi="宋体" w:cs="宋体"/>
          <w:color w:val="000000"/>
          <w:sz w:val="24"/>
          <w:lang w:eastAsia="zh-CN"/>
        </w:rPr>
        <w:t>中国</w:t>
      </w:r>
      <w:r>
        <w:rPr>
          <w:rFonts w:hint="eastAsia" w:ascii="宋体" w:hAnsi="宋体" w:cs="宋体"/>
          <w:color w:val="000000"/>
          <w:sz w:val="24"/>
        </w:rPr>
        <w:t>政府采购网网发布中标公告，并自采购人确定中标之日起2个工作日内向中标人发出中标通知书。</w:t>
      </w:r>
    </w:p>
    <w:p>
      <w:pPr>
        <w:spacing w:line="360" w:lineRule="auto"/>
        <w:ind w:firstLine="480" w:firstLineChars="200"/>
        <w:rPr>
          <w:rFonts w:ascii="宋体" w:hAnsi="宋体" w:cs="宋体"/>
          <w:color w:val="000000"/>
          <w:sz w:val="24"/>
        </w:rPr>
      </w:pPr>
      <w:r>
        <w:rPr>
          <w:rFonts w:hint="eastAsia" w:ascii="宋体" w:hAnsi="宋体" w:cs="宋体"/>
          <w:color w:val="000000"/>
          <w:sz w:val="24"/>
        </w:rPr>
        <w:t>6．招标采购单位不退回投标人投标文件和其他投标资料。</w:t>
      </w:r>
    </w:p>
    <w:p>
      <w:pPr>
        <w:spacing w:line="360" w:lineRule="auto"/>
        <w:outlineLvl w:val="1"/>
        <w:rPr>
          <w:rFonts w:ascii="宋体" w:hAnsi="宋体" w:cs="宋体"/>
          <w:b/>
          <w:color w:val="000000"/>
          <w:sz w:val="24"/>
        </w:rPr>
      </w:pPr>
      <w:r>
        <w:rPr>
          <w:rFonts w:hint="eastAsia" w:ascii="宋体" w:hAnsi="宋体" w:cs="宋体"/>
          <w:b/>
          <w:color w:val="000000"/>
          <w:sz w:val="24"/>
        </w:rPr>
        <w:t>10.评标专家在政府采购活动中承担以下义务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（一）遵守评标工作纪律；</w:t>
      </w:r>
    </w:p>
    <w:p>
      <w:pPr>
        <w:spacing w:line="360" w:lineRule="auto"/>
        <w:ind w:firstLine="480" w:firstLineChars="200"/>
        <w:rPr>
          <w:rFonts w:ascii="宋体" w:hAnsi="宋体" w:cs="宋体"/>
          <w:color w:val="000000"/>
          <w:sz w:val="24"/>
        </w:rPr>
      </w:pPr>
      <w:r>
        <w:rPr>
          <w:rFonts w:hint="eastAsia" w:ascii="宋体" w:hAnsi="宋体" w:cs="宋体"/>
          <w:color w:val="000000"/>
          <w:sz w:val="24"/>
        </w:rPr>
        <w:t>（二）按照客观、公正、审慎的原则，根据招标文件规定的评标程序、评标方法和评标标准进行独立评标；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（三）不得泄露评标文件、评标情况和在评标过程中获悉的商业秘密；</w:t>
      </w:r>
    </w:p>
    <w:p>
      <w:pPr>
        <w:spacing w:line="360" w:lineRule="auto"/>
        <w:ind w:firstLine="480" w:firstLineChars="200"/>
        <w:rPr>
          <w:rFonts w:ascii="宋体" w:hAnsi="宋体" w:cs="宋体"/>
          <w:color w:val="000000"/>
          <w:sz w:val="24"/>
        </w:rPr>
      </w:pPr>
      <w:r>
        <w:rPr>
          <w:rFonts w:hint="eastAsia" w:ascii="宋体" w:hAnsi="宋体" w:cs="宋体"/>
          <w:color w:val="000000"/>
          <w:sz w:val="24"/>
        </w:rPr>
        <w:t>（四）及时向财政部门报告评标过程中发现的采购人、采购代理机构向评标专家做倾向性、误导性的解释或者说明，以及投标人行贿、提供虚假材料或者串通等违法行为；</w:t>
      </w:r>
    </w:p>
    <w:p>
      <w:pPr>
        <w:spacing w:line="360" w:lineRule="auto"/>
        <w:ind w:firstLine="480" w:firstLineChars="200"/>
        <w:rPr>
          <w:rFonts w:ascii="宋体" w:hAnsi="宋体" w:cs="宋体"/>
          <w:color w:val="000000"/>
          <w:sz w:val="24"/>
        </w:rPr>
      </w:pPr>
      <w:r>
        <w:rPr>
          <w:rFonts w:hint="eastAsia" w:ascii="宋体" w:hAnsi="宋体" w:cs="宋体"/>
          <w:color w:val="000000"/>
          <w:sz w:val="24"/>
        </w:rPr>
        <w:t>（五）发现招标文件内容违反国家有关强制性规定或者采购文件存在歧义、重大缺陷导致评标工作无法进行时，停止评标并向采购人或者采购代理机构书面说明情况；</w:t>
      </w:r>
    </w:p>
    <w:p>
      <w:pPr>
        <w:spacing w:line="360" w:lineRule="auto"/>
        <w:ind w:firstLine="480" w:firstLineChars="200"/>
        <w:rPr>
          <w:rFonts w:ascii="宋体" w:hAnsi="宋体" w:cs="宋体"/>
          <w:color w:val="000000"/>
          <w:sz w:val="24"/>
        </w:rPr>
      </w:pPr>
      <w:r>
        <w:rPr>
          <w:rFonts w:hint="eastAsia" w:ascii="宋体" w:hAnsi="宋体" w:cs="宋体"/>
          <w:color w:val="000000"/>
          <w:sz w:val="24"/>
        </w:rPr>
        <w:t>（六）及时向财政、监察等部门举报在评标过程中受到的非法干预情况；</w:t>
      </w:r>
    </w:p>
    <w:p>
      <w:pPr>
        <w:spacing w:line="360" w:lineRule="auto"/>
        <w:ind w:firstLine="480" w:firstLineChars="200"/>
        <w:rPr>
          <w:rFonts w:ascii="宋体" w:hAnsi="宋体" w:cs="宋体"/>
          <w:color w:val="000000"/>
          <w:sz w:val="24"/>
        </w:rPr>
      </w:pPr>
      <w:r>
        <w:rPr>
          <w:rFonts w:hint="eastAsia" w:ascii="宋体" w:hAnsi="宋体" w:cs="宋体"/>
          <w:color w:val="000000"/>
          <w:sz w:val="24"/>
        </w:rPr>
        <w:t>（七）配合答复处理投标人的询问、质疑和投诉等事项；</w:t>
      </w:r>
    </w:p>
    <w:p>
      <w:pPr>
        <w:spacing w:line="360" w:lineRule="auto"/>
        <w:ind w:firstLine="480" w:firstLineChars="200"/>
        <w:rPr>
          <w:rFonts w:ascii="宋体" w:hAnsi="宋体" w:cs="宋体"/>
          <w:color w:val="000000"/>
          <w:sz w:val="24"/>
        </w:rPr>
      </w:pPr>
      <w:r>
        <w:rPr>
          <w:rFonts w:hint="eastAsia" w:ascii="宋体" w:hAnsi="宋体" w:cs="宋体"/>
          <w:color w:val="000000"/>
          <w:sz w:val="24"/>
        </w:rPr>
        <w:t>（八）法律、法规和规章规定的其他义务。</w:t>
      </w:r>
    </w:p>
    <w:p>
      <w:pPr>
        <w:spacing w:line="360" w:lineRule="auto"/>
        <w:outlineLvl w:val="1"/>
        <w:rPr>
          <w:rFonts w:ascii="宋体" w:hAnsi="宋体" w:cs="宋体"/>
          <w:b/>
          <w:color w:val="000000"/>
          <w:sz w:val="24"/>
        </w:rPr>
      </w:pPr>
      <w:r>
        <w:rPr>
          <w:rFonts w:hint="eastAsia" w:ascii="宋体" w:hAnsi="宋体" w:cs="宋体"/>
          <w:b/>
          <w:color w:val="000000"/>
          <w:sz w:val="24"/>
        </w:rPr>
        <w:t>11.评标专家在政府采购活动中应当遵守以下工作纪律</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（一）遵行《政府采购法》第十二条和《政府采购法实施条例》第九条及财政部关于回避的规定；</w:t>
      </w:r>
    </w:p>
    <w:p>
      <w:pPr>
        <w:spacing w:line="360" w:lineRule="auto"/>
        <w:ind w:firstLine="480" w:firstLineChars="200"/>
        <w:rPr>
          <w:rFonts w:ascii="宋体" w:hAnsi="宋体" w:cs="宋体"/>
          <w:color w:val="000000"/>
          <w:sz w:val="24"/>
        </w:rPr>
      </w:pPr>
      <w:r>
        <w:rPr>
          <w:rFonts w:hint="eastAsia" w:ascii="宋体" w:hAnsi="宋体" w:cs="宋体"/>
          <w:color w:val="000000"/>
          <w:sz w:val="24"/>
        </w:rPr>
        <w:t>（二）评标前，应当将通讯工具或者相关电子设备交由招标采购单位统一保管；</w:t>
      </w:r>
    </w:p>
    <w:p>
      <w:pPr>
        <w:spacing w:line="360" w:lineRule="auto"/>
        <w:ind w:firstLine="480" w:firstLineChars="200"/>
        <w:rPr>
          <w:rFonts w:ascii="宋体" w:hAnsi="宋体" w:cs="宋体"/>
          <w:color w:val="000000"/>
          <w:sz w:val="24"/>
        </w:rPr>
      </w:pPr>
      <w:r>
        <w:rPr>
          <w:rFonts w:hint="eastAsia" w:ascii="宋体" w:hAnsi="宋体" w:cs="宋体"/>
          <w:color w:val="000000"/>
          <w:sz w:val="24"/>
        </w:rPr>
        <w:t>（三）评标过程中，不得与外界联系，因发生不可预见情况，确实需要与外界联系的，应当在监督人员监督之下办理；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四）评标过程中，不得干预或者影响正常评标工作，不得发表倾向性、引导性意见，不得修改或细化招标文件确定的评标程序、评标方法、评标因素和评标标准，不得接受投标人主动提出的澄清和解释，不得征询采购人代表的意见，不得协商评分，不得违反规定的评标格式评分和撰写评标意见，不得拒绝对自己的评标意见签字确认；</w:t>
      </w:r>
    </w:p>
    <w:p>
      <w:pPr>
        <w:spacing w:line="360" w:lineRule="auto"/>
        <w:ind w:firstLine="480" w:firstLineChars="200"/>
        <w:rPr>
          <w:rFonts w:ascii="宋体" w:hAnsi="宋体" w:cs="宋体"/>
          <w:color w:val="000000"/>
          <w:sz w:val="24"/>
        </w:rPr>
      </w:pPr>
      <w:r>
        <w:rPr>
          <w:rFonts w:hint="eastAsia" w:ascii="宋体" w:hAnsi="宋体" w:cs="宋体"/>
          <w:color w:val="000000"/>
          <w:sz w:val="24"/>
        </w:rPr>
        <w:t>（五）在评标过程中和评标结束后，不得记录、复制或带走任何评标资料，除因规定的义务外，不得向外界透露评标内容；</w:t>
      </w:r>
    </w:p>
    <w:p>
      <w:pPr>
        <w:spacing w:line="360" w:lineRule="auto"/>
        <w:ind w:firstLine="480" w:firstLineChars="200"/>
        <w:rPr>
          <w:rFonts w:ascii="宋体" w:hAnsi="宋体" w:cs="宋体"/>
          <w:color w:val="000000"/>
          <w:sz w:val="24"/>
        </w:rPr>
      </w:pPr>
      <w:r>
        <w:rPr>
          <w:rFonts w:hint="eastAsia" w:ascii="宋体" w:hAnsi="宋体" w:cs="宋体"/>
          <w:color w:val="000000"/>
          <w:sz w:val="24"/>
        </w:rPr>
        <w:t>（六）服从评标现场招标采购单位的现场秩序管理，接受评标现场监督人员的合法监督；</w:t>
      </w:r>
    </w:p>
    <w:p>
      <w:pPr>
        <w:spacing w:line="360" w:lineRule="auto"/>
        <w:ind w:firstLine="480" w:firstLineChars="200"/>
        <w:rPr>
          <w:rFonts w:ascii="宋体" w:hAnsi="宋体" w:cs="宋体"/>
          <w:color w:val="000000"/>
          <w:sz w:val="24"/>
        </w:rPr>
      </w:pPr>
      <w:r>
        <w:rPr>
          <w:rFonts w:hint="eastAsia" w:ascii="宋体" w:hAnsi="宋体" w:cs="宋体"/>
          <w:color w:val="000000"/>
          <w:sz w:val="24"/>
        </w:rPr>
        <w:t>（七）遵守有关廉洁自律规定，不得私下接触投标人，不得收受投标人及有关业务单位和个人的财物或好处，不得接受招标采购单位的请托。</w:t>
      </w:r>
    </w:p>
    <w:p>
      <w:pPr>
        <w:spacing w:line="360" w:lineRule="auto"/>
        <w:ind w:firstLine="480" w:firstLineChars="200"/>
        <w:rPr>
          <w:rFonts w:ascii="宋体" w:hAnsi="宋体" w:cs="宋体"/>
          <w:color w:val="000000"/>
          <w:sz w:val="24"/>
        </w:rPr>
      </w:pPr>
      <w:r>
        <w:rPr>
          <w:rFonts w:hint="eastAsia" w:ascii="宋体" w:hAnsi="宋体" w:cs="宋体"/>
          <w:color w:val="000000"/>
          <w:sz w:val="24"/>
        </w:rPr>
        <w:t>（八）有关部门（机构）制定的其他评审工作纪律。</w:t>
      </w:r>
    </w:p>
    <w:p>
      <w:pPr>
        <w:spacing w:line="360" w:lineRule="auto"/>
        <w:outlineLvl w:val="1"/>
        <w:rPr>
          <w:rFonts w:ascii="宋体" w:hAnsi="宋体" w:cs="宋体"/>
          <w:b/>
          <w:color w:val="000000"/>
          <w:sz w:val="24"/>
        </w:rPr>
      </w:pPr>
      <w:r>
        <w:rPr>
          <w:rFonts w:hint="eastAsia" w:ascii="宋体" w:hAnsi="宋体" w:cs="宋体"/>
          <w:b/>
          <w:color w:val="000000"/>
          <w:sz w:val="24"/>
        </w:rPr>
        <w:t>12.评标委员会及其成员不得有下列行为</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（一）确定参与评标至评标结束前私自接触投标人；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（二）接受投标人提出的与投标文件不一致的澄清或者说明，《政府采购货物和服务招标投标管理办法》（财政部令第87号）第五十一条规定的情形除外；</w:t>
      </w:r>
    </w:p>
    <w:p>
      <w:pPr>
        <w:spacing w:line="360" w:lineRule="auto"/>
        <w:ind w:firstLine="480" w:firstLineChars="200"/>
        <w:rPr>
          <w:rFonts w:ascii="宋体" w:hAnsi="宋体" w:cs="宋体"/>
          <w:color w:val="000000"/>
          <w:sz w:val="24"/>
        </w:rPr>
      </w:pPr>
      <w:r>
        <w:rPr>
          <w:rFonts w:hint="eastAsia" w:ascii="宋体" w:hAnsi="宋体" w:cs="宋体"/>
          <w:color w:val="000000"/>
          <w:sz w:val="24"/>
        </w:rPr>
        <w:t>（三）违反评标纪律发表倾向性意见或者征询采购人的倾向性意见；</w:t>
      </w:r>
    </w:p>
    <w:p>
      <w:pPr>
        <w:spacing w:line="360" w:lineRule="auto"/>
        <w:ind w:firstLine="480" w:firstLineChars="200"/>
        <w:rPr>
          <w:rFonts w:ascii="宋体" w:hAnsi="宋体" w:cs="宋体"/>
          <w:color w:val="000000"/>
          <w:sz w:val="24"/>
        </w:rPr>
      </w:pPr>
      <w:r>
        <w:rPr>
          <w:rFonts w:hint="eastAsia" w:ascii="宋体" w:hAnsi="宋体" w:cs="宋体"/>
          <w:color w:val="000000"/>
          <w:sz w:val="24"/>
        </w:rPr>
        <w:t>（四）对需要专业判断的主观评审因素协商评分；</w:t>
      </w:r>
    </w:p>
    <w:p>
      <w:pPr>
        <w:spacing w:line="360" w:lineRule="auto"/>
        <w:ind w:firstLine="480" w:firstLineChars="200"/>
        <w:rPr>
          <w:rFonts w:ascii="宋体" w:hAnsi="宋体" w:cs="宋体"/>
          <w:color w:val="000000"/>
          <w:sz w:val="24"/>
        </w:rPr>
      </w:pPr>
      <w:r>
        <w:rPr>
          <w:rFonts w:hint="eastAsia" w:ascii="宋体" w:hAnsi="宋体" w:cs="宋体"/>
          <w:color w:val="000000"/>
          <w:sz w:val="24"/>
        </w:rPr>
        <w:t>（五）在评标过程中擅离职守，影响评标程序正常进行的；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（六）记录、复制或者带走任何评标资料；</w:t>
      </w:r>
    </w:p>
    <w:p>
      <w:pPr>
        <w:spacing w:line="360" w:lineRule="auto"/>
        <w:ind w:firstLine="480" w:firstLineChars="200"/>
        <w:rPr>
          <w:rFonts w:ascii="宋体" w:hAnsi="宋体" w:cs="宋体"/>
          <w:color w:val="000000"/>
          <w:sz w:val="24"/>
        </w:rPr>
      </w:pPr>
      <w:r>
        <w:rPr>
          <w:rFonts w:hint="eastAsia" w:ascii="宋体" w:hAnsi="宋体" w:cs="宋体"/>
          <w:color w:val="000000"/>
          <w:sz w:val="24"/>
        </w:rPr>
        <w:t>（七）其他不遵守评标纪律的行为。</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评标委员会成员有前款第一至五项行为之一的，其评审意见无效，并不得获取评审劳务报酬和报销异地评审差旅费。</w:t>
      </w:r>
    </w:p>
    <w:p>
      <w:pPr>
        <w:jc w:val="center"/>
        <w:rPr>
          <w:rFonts w:ascii="宋体" w:hAnsi="宋体" w:cs="宋体"/>
          <w:b/>
          <w:sz w:val="32"/>
          <w:szCs w:val="32"/>
        </w:rPr>
      </w:pPr>
      <w:r>
        <w:rPr>
          <w:rFonts w:hint="eastAsia" w:ascii="宋体" w:hAnsi="宋体" w:cs="宋体"/>
          <w:color w:val="000000"/>
          <w:sz w:val="24"/>
        </w:rPr>
        <w:br w:type="page"/>
      </w:r>
      <w:bookmarkEnd w:id="425"/>
      <w:bookmarkEnd w:id="426"/>
      <w:bookmarkEnd w:id="427"/>
      <w:bookmarkEnd w:id="428"/>
      <w:r>
        <w:rPr>
          <w:rFonts w:hint="eastAsia" w:ascii="宋体" w:hAnsi="宋体" w:cs="宋体"/>
          <w:b/>
          <w:bCs/>
          <w:color w:val="000000"/>
          <w:kern w:val="0"/>
          <w:sz w:val="32"/>
          <w:szCs w:val="32"/>
        </w:rPr>
        <w:t>第八章 政府采购合同（样例）</w:t>
      </w:r>
    </w:p>
    <w:p>
      <w:pPr>
        <w:pStyle w:val="21"/>
        <w:spacing w:after="0" w:line="360" w:lineRule="auto"/>
        <w:jc w:val="center"/>
        <w:rPr>
          <w:rFonts w:hAnsi="宋体" w:cs="宋体"/>
          <w:szCs w:val="21"/>
        </w:rPr>
      </w:pPr>
      <w:r>
        <w:rPr>
          <w:rFonts w:hint="eastAsia" w:hAnsi="宋体" w:cs="宋体"/>
          <w:b/>
          <w:bCs/>
          <w:sz w:val="32"/>
          <w:szCs w:val="32"/>
        </w:rPr>
        <w:t>第一节  合同书</w:t>
      </w:r>
    </w:p>
    <w:p>
      <w:pPr>
        <w:pStyle w:val="21"/>
        <w:spacing w:after="0" w:line="360" w:lineRule="auto"/>
        <w:ind w:firstLine="480" w:firstLineChars="200"/>
        <w:rPr>
          <w:rFonts w:hAnsi="宋体" w:cs="宋体"/>
          <w:color w:val="FF0000"/>
          <w:sz w:val="24"/>
        </w:rPr>
      </w:pPr>
    </w:p>
    <w:p>
      <w:pPr>
        <w:spacing w:line="360" w:lineRule="auto"/>
        <w:jc w:val="center"/>
        <w:rPr>
          <w:rFonts w:ascii="宋体" w:hAnsi="宋体" w:cs="宋体"/>
          <w:b/>
          <w:bCs/>
          <w:sz w:val="32"/>
          <w:szCs w:val="40"/>
        </w:rPr>
      </w:pPr>
      <w:r>
        <w:rPr>
          <w:rFonts w:hint="eastAsia" w:ascii="宋体" w:hAnsi="宋体" w:cs="宋体"/>
          <w:b/>
          <w:bCs/>
          <w:sz w:val="32"/>
          <w:szCs w:val="40"/>
          <w:lang w:val="en-US" w:eastAsia="zh-CN"/>
        </w:rPr>
        <w:t>XXXXX</w:t>
      </w:r>
      <w:r>
        <w:rPr>
          <w:rFonts w:hint="eastAsia" w:ascii="宋体" w:hAnsi="宋体" w:cs="宋体"/>
          <w:b/>
          <w:bCs/>
          <w:sz w:val="32"/>
          <w:szCs w:val="40"/>
        </w:rPr>
        <w:t>合同</w:t>
      </w:r>
    </w:p>
    <w:p>
      <w:pPr>
        <w:spacing w:line="360" w:lineRule="auto"/>
        <w:rPr>
          <w:rFonts w:ascii="宋体" w:hAnsi="宋体" w:cs="宋体"/>
          <w:sz w:val="28"/>
          <w:szCs w:val="36"/>
        </w:rPr>
      </w:pPr>
    </w:p>
    <w:p>
      <w:pPr>
        <w:spacing w:line="360" w:lineRule="auto"/>
        <w:rPr>
          <w:rFonts w:ascii="宋体" w:hAnsi="宋体" w:cs="宋体"/>
          <w:sz w:val="28"/>
          <w:szCs w:val="36"/>
        </w:rPr>
      </w:pPr>
      <w:r>
        <w:rPr>
          <w:rFonts w:hint="eastAsia" w:ascii="宋体" w:hAnsi="宋体" w:cs="宋体"/>
          <w:sz w:val="28"/>
          <w:szCs w:val="36"/>
        </w:rPr>
        <w:t>甲方:</w:t>
      </w:r>
      <w:r>
        <w:rPr>
          <w:rFonts w:hint="eastAsia" w:ascii="宋体" w:hAnsi="宋体" w:cs="宋体"/>
          <w:sz w:val="28"/>
          <w:szCs w:val="36"/>
          <w:lang w:val="en-US" w:eastAsia="zh-CN"/>
        </w:rPr>
        <w:t xml:space="preserve">                        </w:t>
      </w:r>
      <w:r>
        <w:rPr>
          <w:rFonts w:hint="eastAsia" w:ascii="宋体" w:hAnsi="宋体" w:cs="宋体"/>
          <w:sz w:val="28"/>
          <w:szCs w:val="36"/>
        </w:rPr>
        <w:t>乙方:</w:t>
      </w:r>
    </w:p>
    <w:p>
      <w:pPr>
        <w:spacing w:line="360" w:lineRule="auto"/>
        <w:ind w:firstLine="560" w:firstLineChars="200"/>
        <w:rPr>
          <w:rFonts w:ascii="宋体" w:hAnsi="宋体" w:cs="宋体"/>
          <w:sz w:val="28"/>
          <w:szCs w:val="36"/>
        </w:rPr>
      </w:pPr>
      <w:r>
        <w:rPr>
          <w:rFonts w:hint="eastAsia" w:ascii="宋体" w:hAnsi="宋体" w:cs="宋体"/>
          <w:sz w:val="28"/>
          <w:szCs w:val="36"/>
        </w:rPr>
        <w:t>根据《中华人民共和国民法典》等有关法律、法规,经甲乙双方平等自愿,协商一致签订本合同,并共同遵守本合同所列条款。</w:t>
      </w:r>
    </w:p>
    <w:p>
      <w:pPr>
        <w:spacing w:line="360" w:lineRule="auto"/>
        <w:ind w:firstLine="560" w:firstLineChars="200"/>
        <w:rPr>
          <w:rFonts w:ascii="宋体" w:hAnsi="宋体" w:cs="宋体"/>
          <w:b/>
          <w:bCs/>
          <w:sz w:val="28"/>
          <w:szCs w:val="36"/>
          <w:highlight w:val="none"/>
        </w:rPr>
      </w:pPr>
      <w:r>
        <w:rPr>
          <w:rFonts w:hint="eastAsia" w:ascii="宋体" w:hAnsi="宋体" w:cs="宋体"/>
          <w:b/>
          <w:bCs/>
          <w:sz w:val="28"/>
          <w:szCs w:val="36"/>
          <w:highlight w:val="none"/>
        </w:rPr>
        <w:t>一、购买服务范围及内容</w:t>
      </w:r>
    </w:p>
    <w:p>
      <w:pPr>
        <w:spacing w:line="360" w:lineRule="auto"/>
        <w:ind w:firstLine="560" w:firstLineChars="200"/>
        <w:rPr>
          <w:rFonts w:hint="eastAsia" w:ascii="宋体" w:hAnsi="宋体" w:cs="宋体"/>
          <w:b/>
          <w:bCs/>
          <w:sz w:val="28"/>
          <w:szCs w:val="36"/>
          <w:highlight w:val="none"/>
        </w:rPr>
      </w:pPr>
      <w:r>
        <w:rPr>
          <w:rFonts w:hint="eastAsia" w:ascii="宋体" w:hAnsi="宋体" w:cs="宋体"/>
          <w:b/>
          <w:bCs/>
          <w:sz w:val="28"/>
          <w:szCs w:val="36"/>
          <w:highlight w:val="none"/>
        </w:rPr>
        <w:t>(一)范围:</w:t>
      </w:r>
    </w:p>
    <w:p>
      <w:pPr>
        <w:spacing w:line="360" w:lineRule="auto"/>
        <w:ind w:firstLine="560" w:firstLineChars="200"/>
        <w:rPr>
          <w:rFonts w:hint="eastAsia" w:ascii="宋体" w:hAnsi="宋体" w:cs="宋体"/>
          <w:b/>
          <w:bCs/>
          <w:sz w:val="28"/>
          <w:szCs w:val="36"/>
          <w:highlight w:val="none"/>
        </w:rPr>
      </w:pPr>
      <w:r>
        <w:rPr>
          <w:rFonts w:hint="eastAsia" w:ascii="宋体" w:hAnsi="宋体" w:cs="宋体"/>
          <w:b/>
          <w:bCs/>
          <w:sz w:val="28"/>
          <w:szCs w:val="36"/>
          <w:highlight w:val="none"/>
        </w:rPr>
        <w:t>(二)内容:</w:t>
      </w:r>
    </w:p>
    <w:p>
      <w:pPr>
        <w:spacing w:line="360" w:lineRule="auto"/>
        <w:ind w:firstLine="560" w:firstLineChars="200"/>
        <w:rPr>
          <w:rFonts w:ascii="宋体" w:hAnsi="宋体" w:cs="宋体"/>
          <w:b/>
          <w:bCs/>
          <w:color w:val="262626"/>
          <w:sz w:val="28"/>
          <w:szCs w:val="36"/>
          <w:highlight w:val="none"/>
        </w:rPr>
      </w:pPr>
      <w:r>
        <w:rPr>
          <w:rFonts w:hint="eastAsia" w:ascii="宋体" w:hAnsi="宋体" w:cs="宋体"/>
          <w:b/>
          <w:bCs/>
          <w:color w:val="262626"/>
          <w:sz w:val="28"/>
          <w:szCs w:val="36"/>
          <w:highlight w:val="none"/>
        </w:rPr>
        <w:t>具体内容如下:</w:t>
      </w:r>
    </w:p>
    <w:p>
      <w:pPr>
        <w:ind w:firstLine="560" w:firstLineChars="200"/>
        <w:rPr>
          <w:sz w:val="32"/>
          <w:szCs w:val="32"/>
          <w:highlight w:val="none"/>
        </w:rPr>
      </w:pPr>
      <w:r>
        <w:rPr>
          <w:rFonts w:hint="eastAsia" w:ascii="宋体" w:hAnsi="宋体" w:cs="宋体"/>
          <w:b/>
          <w:bCs/>
          <w:sz w:val="28"/>
          <w:szCs w:val="36"/>
          <w:highlight w:val="none"/>
        </w:rPr>
        <w:t xml:space="preserve"> 二、服务指标</w:t>
      </w:r>
    </w:p>
    <w:p>
      <w:pPr>
        <w:spacing w:line="360" w:lineRule="auto"/>
        <w:ind w:firstLine="560" w:firstLineChars="200"/>
        <w:rPr>
          <w:rFonts w:ascii="宋体" w:hAnsi="宋体" w:cs="宋体"/>
          <w:sz w:val="28"/>
          <w:szCs w:val="36"/>
          <w:highlight w:val="none"/>
        </w:rPr>
      </w:pPr>
      <w:r>
        <w:rPr>
          <w:rFonts w:hint="eastAsia" w:ascii="宋体" w:hAnsi="宋体" w:cs="宋体"/>
          <w:b/>
          <w:bCs/>
          <w:sz w:val="28"/>
          <w:szCs w:val="36"/>
          <w:highlight w:val="none"/>
        </w:rPr>
        <w:t>(</w:t>
      </w:r>
      <w:r>
        <w:rPr>
          <w:rFonts w:hint="eastAsia" w:ascii="宋体" w:hAnsi="宋体" w:cs="宋体"/>
          <w:b/>
          <w:bCs/>
          <w:sz w:val="28"/>
          <w:szCs w:val="36"/>
          <w:highlight w:val="none"/>
          <w:lang w:eastAsia="zh-CN"/>
        </w:rPr>
        <w:t>一</w:t>
      </w:r>
      <w:r>
        <w:rPr>
          <w:rFonts w:hint="eastAsia" w:ascii="宋体" w:hAnsi="宋体" w:cs="宋体"/>
          <w:b/>
          <w:bCs/>
          <w:sz w:val="28"/>
          <w:szCs w:val="36"/>
          <w:highlight w:val="none"/>
        </w:rPr>
        <w:t>)安全指标</w:t>
      </w:r>
    </w:p>
    <w:p>
      <w:pPr>
        <w:spacing w:line="360" w:lineRule="auto"/>
        <w:ind w:firstLine="560" w:firstLineChars="200"/>
        <w:rPr>
          <w:rFonts w:ascii="宋体" w:hAnsi="宋体" w:cs="宋体"/>
          <w:sz w:val="28"/>
          <w:szCs w:val="36"/>
          <w:highlight w:val="none"/>
        </w:rPr>
      </w:pPr>
      <w:r>
        <w:rPr>
          <w:rFonts w:hint="eastAsia" w:ascii="宋体" w:hAnsi="宋体" w:cs="宋体"/>
          <w:b/>
          <w:bCs/>
          <w:sz w:val="28"/>
          <w:szCs w:val="36"/>
          <w:highlight w:val="none"/>
        </w:rPr>
        <w:t>(二)技术指标</w:t>
      </w:r>
    </w:p>
    <w:p>
      <w:pPr>
        <w:spacing w:line="360" w:lineRule="auto"/>
        <w:ind w:firstLine="560" w:firstLineChars="200"/>
        <w:rPr>
          <w:rFonts w:ascii="宋体" w:hAnsi="宋体" w:cs="宋体"/>
          <w:sz w:val="28"/>
          <w:szCs w:val="36"/>
          <w:highlight w:val="none"/>
        </w:rPr>
      </w:pPr>
      <w:r>
        <w:rPr>
          <w:rFonts w:hint="eastAsia" w:ascii="宋体" w:hAnsi="宋体" w:cs="宋体"/>
          <w:b/>
          <w:bCs/>
          <w:sz w:val="28"/>
          <w:szCs w:val="36"/>
          <w:highlight w:val="none"/>
        </w:rPr>
        <w:t>(三)管理指标</w:t>
      </w:r>
    </w:p>
    <w:p>
      <w:pPr>
        <w:spacing w:line="360" w:lineRule="auto"/>
        <w:ind w:firstLine="560" w:firstLineChars="200"/>
        <w:rPr>
          <w:rFonts w:ascii="宋体" w:hAnsi="宋体" w:cs="宋体"/>
          <w:sz w:val="28"/>
          <w:szCs w:val="36"/>
          <w:highlight w:val="none"/>
        </w:rPr>
      </w:pPr>
      <w:r>
        <w:rPr>
          <w:rFonts w:hint="eastAsia" w:ascii="宋体" w:hAnsi="宋体" w:cs="宋体"/>
          <w:b/>
          <w:bCs/>
          <w:sz w:val="28"/>
          <w:szCs w:val="36"/>
          <w:highlight w:val="none"/>
        </w:rPr>
        <w:t>(四)考核指标</w:t>
      </w:r>
    </w:p>
    <w:p>
      <w:pPr>
        <w:spacing w:line="360" w:lineRule="auto"/>
        <w:ind w:firstLine="560" w:firstLineChars="200"/>
        <w:rPr>
          <w:rFonts w:ascii="宋体" w:hAnsi="宋体" w:cs="宋体"/>
          <w:sz w:val="28"/>
          <w:szCs w:val="36"/>
          <w:highlight w:val="none"/>
        </w:rPr>
      </w:pPr>
      <w:r>
        <w:rPr>
          <w:rFonts w:hint="eastAsia" w:ascii="宋体" w:hAnsi="宋体" w:cs="宋体"/>
          <w:b/>
          <w:bCs/>
          <w:sz w:val="28"/>
          <w:szCs w:val="36"/>
          <w:highlight w:val="none"/>
        </w:rPr>
        <w:t>(五)服务指标</w:t>
      </w:r>
    </w:p>
    <w:p>
      <w:pPr>
        <w:spacing w:line="360" w:lineRule="auto"/>
        <w:ind w:firstLine="560" w:firstLineChars="200"/>
        <w:rPr>
          <w:rFonts w:ascii="宋体" w:hAnsi="宋体" w:cs="宋体"/>
          <w:sz w:val="28"/>
          <w:szCs w:val="36"/>
        </w:rPr>
      </w:pPr>
      <w:r>
        <w:rPr>
          <w:rFonts w:hint="eastAsia" w:ascii="宋体" w:hAnsi="宋体" w:cs="宋体"/>
          <w:sz w:val="28"/>
          <w:szCs w:val="36"/>
        </w:rPr>
        <w:t>服务满意度测评(均值)不低于90。</w:t>
      </w:r>
    </w:p>
    <w:p>
      <w:pPr>
        <w:spacing w:line="360" w:lineRule="auto"/>
        <w:ind w:firstLine="560" w:firstLineChars="200"/>
        <w:rPr>
          <w:rFonts w:ascii="宋体" w:hAnsi="宋体" w:cs="宋体"/>
          <w:sz w:val="28"/>
          <w:szCs w:val="36"/>
        </w:rPr>
      </w:pPr>
      <w:r>
        <w:rPr>
          <w:rFonts w:hint="eastAsia" w:ascii="宋体" w:hAnsi="宋体" w:cs="宋体"/>
          <w:b/>
          <w:bCs/>
          <w:sz w:val="28"/>
          <w:szCs w:val="36"/>
        </w:rPr>
        <w:t>三、合同总额、支付方式及要求</w:t>
      </w:r>
    </w:p>
    <w:p>
      <w:pPr>
        <w:spacing w:line="360" w:lineRule="auto"/>
        <w:ind w:firstLine="560" w:firstLineChars="200"/>
        <w:rPr>
          <w:rFonts w:ascii="宋体" w:hAnsi="宋体" w:cs="宋体"/>
          <w:color w:val="262626"/>
          <w:sz w:val="28"/>
          <w:szCs w:val="36"/>
        </w:rPr>
      </w:pPr>
      <w:r>
        <w:rPr>
          <w:rFonts w:hint="eastAsia" w:ascii="宋体" w:hAnsi="宋体" w:cs="宋体"/>
          <w:color w:val="262626"/>
          <w:sz w:val="28"/>
          <w:szCs w:val="36"/>
        </w:rPr>
        <w:t>（一）合同总额</w:t>
      </w:r>
    </w:p>
    <w:p>
      <w:pPr>
        <w:spacing w:line="360" w:lineRule="auto"/>
        <w:ind w:firstLine="560" w:firstLineChars="200"/>
        <w:rPr>
          <w:rFonts w:ascii="宋体" w:hAnsi="宋体" w:cs="宋体"/>
          <w:color w:val="262626"/>
          <w:sz w:val="28"/>
          <w:szCs w:val="36"/>
        </w:rPr>
      </w:pPr>
      <w:r>
        <w:rPr>
          <w:rFonts w:hint="eastAsia" w:ascii="宋体" w:hAnsi="宋体" w:cs="宋体"/>
          <w:color w:val="262626"/>
          <w:sz w:val="28"/>
          <w:szCs w:val="36"/>
        </w:rPr>
        <w:t>本项目服务费用为人民币:xxx元（大写xxx元整）。该合同总金额为</w:t>
      </w:r>
      <w:r>
        <w:rPr>
          <w:rFonts w:hint="eastAsia" w:ascii="宋体" w:hAnsi="宋体" w:cs="宋体"/>
          <w:color w:val="262626"/>
          <w:sz w:val="28"/>
          <w:szCs w:val="36"/>
          <w:lang w:eastAsia="zh-CN"/>
        </w:rPr>
        <w:t>全院污水处理站运维服务</w:t>
      </w:r>
      <w:r>
        <w:rPr>
          <w:rFonts w:hint="eastAsia" w:ascii="宋体" w:hAnsi="宋体" w:cs="宋体"/>
          <w:color w:val="262626"/>
          <w:sz w:val="28"/>
          <w:szCs w:val="36"/>
        </w:rPr>
        <w:t>事项整体包干金额。包括乙方在经营过程中所发生的一切费用，包括但不仅限于：</w:t>
      </w:r>
      <w:r>
        <w:rPr>
          <w:rFonts w:hint="eastAsia" w:ascii="宋体" w:hAnsi="宋体" w:cs="宋体"/>
          <w:color w:val="262626"/>
          <w:sz w:val="28"/>
          <w:szCs w:val="36"/>
          <w:lang w:eastAsia="zh-CN"/>
        </w:rPr>
        <w:t>员工</w:t>
      </w:r>
      <w:r>
        <w:rPr>
          <w:rFonts w:hint="eastAsia" w:ascii="宋体" w:hAnsi="宋体" w:cs="宋体"/>
          <w:color w:val="262626"/>
          <w:sz w:val="28"/>
          <w:szCs w:val="36"/>
        </w:rPr>
        <w:t>工资、福利、奖金、伙食费、交通费、加班费、社会保险（包括工伤保险）或人身意外保险费、住房公积金、管理费、安全费、业务技能培训费以及在经营过程中所发生的一切含税费用。</w:t>
      </w:r>
    </w:p>
    <w:p>
      <w:pPr>
        <w:spacing w:line="360" w:lineRule="auto"/>
        <w:ind w:firstLine="560" w:firstLineChars="200"/>
        <w:rPr>
          <w:rFonts w:ascii="宋体" w:hAnsi="宋体" w:cs="宋体"/>
          <w:sz w:val="28"/>
          <w:szCs w:val="36"/>
        </w:rPr>
      </w:pPr>
      <w:r>
        <w:rPr>
          <w:rFonts w:hint="eastAsia" w:ascii="宋体" w:hAnsi="宋体" w:cs="宋体"/>
          <w:b/>
          <w:bCs/>
          <w:sz w:val="28"/>
          <w:szCs w:val="36"/>
        </w:rPr>
        <w:t>(二)服务费用支付方式及要求</w:t>
      </w:r>
    </w:p>
    <w:p>
      <w:pPr>
        <w:spacing w:line="360" w:lineRule="auto"/>
        <w:ind w:firstLine="560" w:firstLineChars="200"/>
        <w:rPr>
          <w:rFonts w:ascii="宋体" w:hAnsi="宋体" w:cs="宋体"/>
          <w:sz w:val="28"/>
          <w:szCs w:val="36"/>
        </w:rPr>
      </w:pPr>
      <w:r>
        <w:rPr>
          <w:rFonts w:hint="eastAsia" w:ascii="宋体" w:hAnsi="宋体" w:cs="宋体"/>
          <w:sz w:val="28"/>
          <w:szCs w:val="36"/>
        </w:rPr>
        <w:t>服务费用以银行转账的方式予以支付。</w:t>
      </w:r>
    </w:p>
    <w:p>
      <w:pPr>
        <w:spacing w:line="360" w:lineRule="auto"/>
        <w:ind w:firstLine="560" w:firstLineChars="200"/>
        <w:rPr>
          <w:rFonts w:ascii="宋体" w:hAnsi="宋体" w:cs="宋体"/>
          <w:sz w:val="28"/>
          <w:szCs w:val="36"/>
        </w:rPr>
      </w:pPr>
      <w:r>
        <w:rPr>
          <w:rFonts w:hint="eastAsia" w:ascii="宋体" w:hAnsi="宋体" w:cs="宋体"/>
          <w:sz w:val="28"/>
          <w:szCs w:val="36"/>
        </w:rPr>
        <w:t>服务费实行月度和季度相结合的分期支付方式。每月支付基本费用xxx元（大写xxx元）,每季度xxx元（大写xxx元）服务费纳入考核,根据季度考核结果据实支付。</w:t>
      </w:r>
    </w:p>
    <w:p>
      <w:pPr>
        <w:spacing w:line="360" w:lineRule="auto"/>
        <w:ind w:firstLine="560" w:firstLineChars="200"/>
        <w:rPr>
          <w:rFonts w:ascii="宋体" w:hAnsi="宋体" w:cs="宋体"/>
          <w:sz w:val="28"/>
          <w:szCs w:val="36"/>
        </w:rPr>
      </w:pPr>
      <w:r>
        <w:rPr>
          <w:rFonts w:hint="eastAsia" w:ascii="宋体" w:hAnsi="宋体" w:cs="宋体"/>
          <w:sz w:val="28"/>
          <w:szCs w:val="36"/>
        </w:rPr>
        <w:t>如出现双方认定的项目增量费用，乙方应按甲方要求提供相关结算凭证据实支付；如出现双方认定的项目减量费用，则从双方确认之日起执行。</w:t>
      </w:r>
    </w:p>
    <w:p>
      <w:pPr>
        <w:spacing w:line="360" w:lineRule="auto"/>
        <w:ind w:firstLine="560" w:firstLineChars="200"/>
        <w:rPr>
          <w:rFonts w:ascii="宋体" w:hAnsi="宋体" w:cs="宋体"/>
          <w:sz w:val="28"/>
          <w:szCs w:val="36"/>
        </w:rPr>
      </w:pPr>
      <w:r>
        <w:rPr>
          <w:rFonts w:hint="eastAsia" w:ascii="宋体" w:hAnsi="宋体" w:cs="宋体"/>
          <w:sz w:val="28"/>
          <w:szCs w:val="36"/>
        </w:rPr>
        <w:t>甲方收到乙方开具的发票后10个工作日内支付费用；如甲方因财政资金未及时拨付到位，可延迟支付，待有关财政资金拨付到位后，原则上甲方应于一个月内完成支付。</w:t>
      </w:r>
    </w:p>
    <w:p>
      <w:pPr>
        <w:spacing w:line="52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四、双方职责</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五、检查与考核</w:t>
      </w:r>
    </w:p>
    <w:p>
      <w:pPr>
        <w:spacing w:line="360" w:lineRule="auto"/>
        <w:ind w:firstLine="560" w:firstLineChars="200"/>
        <w:rPr>
          <w:rFonts w:ascii="宋体" w:hAnsi="宋体" w:cs="宋体"/>
          <w:sz w:val="28"/>
          <w:szCs w:val="36"/>
        </w:rPr>
      </w:pPr>
      <w:r>
        <w:rPr>
          <w:rFonts w:hint="eastAsia" w:ascii="宋体" w:hAnsi="宋体" w:cs="宋体"/>
          <w:sz w:val="28"/>
          <w:szCs w:val="36"/>
        </w:rPr>
        <w:t>（一）乙方应制订具体的服务质量保证措施、内部考核制度和相关服务承诺,定期检查督促落实。乙方所有的工作应按甲方的内部流程实施，接受甲方随时检查。如因服务质量末达到目标,按甲方考核实施细则执行,乙方应按甲方要求限期整改,不能达到整改要求的,甲方有权终止合同,由此产生的经济损失由乙方承担；</w:t>
      </w:r>
    </w:p>
    <w:p>
      <w:pPr>
        <w:spacing w:line="360" w:lineRule="auto"/>
        <w:ind w:firstLine="560" w:firstLineChars="200"/>
        <w:rPr>
          <w:rFonts w:ascii="宋体" w:hAnsi="宋体" w:cs="宋体"/>
          <w:sz w:val="28"/>
          <w:szCs w:val="36"/>
        </w:rPr>
      </w:pPr>
      <w:r>
        <w:rPr>
          <w:rFonts w:hint="eastAsia" w:ascii="宋体" w:hAnsi="宋体" w:cs="宋体"/>
          <w:sz w:val="28"/>
          <w:szCs w:val="36"/>
        </w:rPr>
        <w:t>（二）甲方按服务质量考核实施细则每月、季对乙方管理、服务情况进行检查、考核,并将考核结果和整改要求反馈乙方,考核结果作为季度扣减和支付服务费的依据。</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六、合同期限</w:t>
      </w:r>
      <w:r>
        <w:rPr>
          <w:rFonts w:hint="eastAsia" w:ascii="黑体" w:hAnsi="黑体" w:eastAsia="黑体" w:cs="黑体"/>
          <w:sz w:val="28"/>
          <w:szCs w:val="28"/>
        </w:rPr>
        <w:cr/>
      </w:r>
      <w:r>
        <w:rPr>
          <w:rFonts w:hint="eastAsia" w:ascii="宋体" w:hAnsi="宋体" w:cs="宋体"/>
          <w:sz w:val="28"/>
          <w:szCs w:val="36"/>
        </w:rPr>
        <w:t>本合同期限为</w:t>
      </w:r>
      <w:r>
        <w:rPr>
          <w:rFonts w:ascii="宋体" w:hAnsi="宋体" w:cs="宋体"/>
          <w:sz w:val="28"/>
          <w:szCs w:val="36"/>
          <w:lang w:val="en"/>
        </w:rPr>
        <w:t>xxxx</w:t>
      </w:r>
      <w:r>
        <w:rPr>
          <w:rFonts w:hint="eastAsia" w:ascii="宋体" w:hAnsi="宋体" w:cs="宋体"/>
          <w:sz w:val="28"/>
          <w:szCs w:val="36"/>
        </w:rPr>
        <w:t>年</w:t>
      </w:r>
      <w:r>
        <w:rPr>
          <w:rFonts w:ascii="宋体" w:hAnsi="宋体" w:cs="宋体"/>
          <w:sz w:val="28"/>
          <w:szCs w:val="36"/>
          <w:lang w:val="en"/>
        </w:rPr>
        <w:t>xx</w:t>
      </w:r>
      <w:r>
        <w:rPr>
          <w:rFonts w:hint="eastAsia" w:ascii="宋体" w:hAnsi="宋体" w:cs="宋体"/>
          <w:sz w:val="28"/>
          <w:szCs w:val="36"/>
        </w:rPr>
        <w:t>月</w:t>
      </w:r>
      <w:r>
        <w:rPr>
          <w:rFonts w:ascii="宋体" w:hAnsi="宋体" w:cs="宋体"/>
          <w:sz w:val="28"/>
          <w:szCs w:val="36"/>
          <w:lang w:val="en"/>
        </w:rPr>
        <w:t>xx</w:t>
      </w:r>
      <w:r>
        <w:rPr>
          <w:rFonts w:hint="eastAsia" w:ascii="宋体" w:hAnsi="宋体" w:cs="宋体"/>
          <w:sz w:val="28"/>
          <w:szCs w:val="36"/>
        </w:rPr>
        <w:t>日至</w:t>
      </w:r>
      <w:r>
        <w:rPr>
          <w:rFonts w:ascii="宋体" w:hAnsi="宋体" w:cs="宋体"/>
          <w:sz w:val="28"/>
          <w:szCs w:val="36"/>
          <w:lang w:val="en"/>
        </w:rPr>
        <w:t>xxxx</w:t>
      </w:r>
      <w:r>
        <w:rPr>
          <w:rFonts w:hint="eastAsia" w:ascii="宋体" w:hAnsi="宋体" w:cs="宋体"/>
          <w:sz w:val="28"/>
          <w:szCs w:val="36"/>
        </w:rPr>
        <w:t>年</w:t>
      </w:r>
      <w:r>
        <w:rPr>
          <w:rFonts w:ascii="宋体" w:hAnsi="宋体" w:cs="宋体"/>
          <w:sz w:val="28"/>
          <w:szCs w:val="36"/>
          <w:lang w:val="en"/>
        </w:rPr>
        <w:t>xx</w:t>
      </w:r>
      <w:r>
        <w:rPr>
          <w:rFonts w:hint="eastAsia" w:ascii="宋体" w:hAnsi="宋体" w:cs="宋体"/>
          <w:sz w:val="28"/>
          <w:szCs w:val="36"/>
        </w:rPr>
        <w:t>月</w:t>
      </w:r>
      <w:r>
        <w:rPr>
          <w:rFonts w:ascii="宋体" w:hAnsi="宋体" w:cs="宋体"/>
          <w:sz w:val="28"/>
          <w:szCs w:val="36"/>
          <w:lang w:val="en"/>
        </w:rPr>
        <w:t>xx</w:t>
      </w:r>
      <w:r>
        <w:rPr>
          <w:rFonts w:hint="eastAsia" w:ascii="宋体" w:hAnsi="宋体" w:cs="宋体"/>
          <w:sz w:val="28"/>
          <w:szCs w:val="36"/>
        </w:rPr>
        <w:t>日。</w:t>
      </w:r>
      <w:r>
        <w:rPr>
          <w:rFonts w:hint="eastAsia" w:ascii="宋体" w:hAnsi="宋体" w:cs="宋体"/>
          <w:sz w:val="28"/>
          <w:szCs w:val="36"/>
        </w:rPr>
        <w:cr/>
      </w:r>
      <w:r>
        <w:rPr>
          <w:rFonts w:hint="eastAsia" w:ascii="宋体" w:hAnsi="宋体" w:cs="宋体"/>
          <w:sz w:val="28"/>
          <w:szCs w:val="28"/>
        </w:rPr>
        <w:t xml:space="preserve">   </w:t>
      </w:r>
      <w:r>
        <w:rPr>
          <w:rFonts w:hint="eastAsia" w:ascii="黑体" w:hAnsi="黑体" w:eastAsia="黑体" w:cs="黑体"/>
          <w:sz w:val="28"/>
          <w:szCs w:val="28"/>
        </w:rPr>
        <w:t>七、违约责任</w:t>
      </w:r>
    </w:p>
    <w:p>
      <w:pPr>
        <w:spacing w:line="360" w:lineRule="auto"/>
        <w:ind w:firstLine="560" w:firstLineChars="200"/>
        <w:rPr>
          <w:rFonts w:ascii="宋体" w:hAnsi="宋体" w:cs="宋体"/>
          <w:sz w:val="28"/>
          <w:szCs w:val="36"/>
        </w:rPr>
      </w:pPr>
      <w:r>
        <w:rPr>
          <w:rFonts w:hint="eastAsia" w:ascii="宋体" w:hAnsi="宋体" w:cs="宋体"/>
          <w:sz w:val="28"/>
          <w:szCs w:val="36"/>
        </w:rPr>
        <w:t>（一）甲方应按时支付服务费,对无理克扣、拖延发放的,乙方有权按有关规定追索。</w:t>
      </w:r>
    </w:p>
    <w:p>
      <w:pPr>
        <w:spacing w:line="360" w:lineRule="auto"/>
        <w:ind w:firstLine="560" w:firstLineChars="200"/>
        <w:rPr>
          <w:rFonts w:ascii="宋体" w:hAnsi="宋体" w:cs="宋体"/>
          <w:sz w:val="28"/>
          <w:szCs w:val="36"/>
        </w:rPr>
      </w:pPr>
      <w:r>
        <w:rPr>
          <w:rFonts w:hint="eastAsia" w:ascii="宋体" w:hAnsi="宋体" w:cs="宋体"/>
          <w:sz w:val="28"/>
          <w:szCs w:val="36"/>
        </w:rPr>
        <w:t>（二）乙方派出的人员因工作中违反操作规程造成责任事故的,甲方按相关规定对乙方进行处罚（索求赔偿）,并按甲方考核实施细则扣减服务费。</w:t>
      </w:r>
    </w:p>
    <w:p>
      <w:pPr>
        <w:spacing w:line="360" w:lineRule="auto"/>
        <w:ind w:firstLine="560" w:firstLineChars="200"/>
        <w:rPr>
          <w:rFonts w:ascii="宋体" w:hAnsi="宋体" w:cs="宋体"/>
          <w:sz w:val="28"/>
          <w:szCs w:val="36"/>
        </w:rPr>
      </w:pPr>
      <w:r>
        <w:rPr>
          <w:rFonts w:hint="eastAsia" w:ascii="宋体" w:hAnsi="宋体" w:cs="宋体"/>
          <w:sz w:val="28"/>
          <w:szCs w:val="36"/>
        </w:rPr>
        <w:t>（三）乙方安排的人员不服从甲方调度安排或有违反劳动纪律、违章操作等行为的,经双方确认后,甲方按考核实施细则扣减服务费。</w:t>
      </w:r>
      <w:r>
        <w:rPr>
          <w:rFonts w:hint="eastAsia" w:ascii="宋体" w:hAnsi="宋体" w:cs="宋体"/>
          <w:sz w:val="28"/>
          <w:szCs w:val="36"/>
        </w:rPr>
        <w:cr/>
      </w:r>
      <w:r>
        <w:rPr>
          <w:rFonts w:hint="eastAsia" w:ascii="宋体" w:hAnsi="宋体" w:cs="宋体"/>
          <w:sz w:val="28"/>
          <w:szCs w:val="36"/>
        </w:rPr>
        <w:t xml:space="preserve">    （四）发生下列情况,甲方有权要求人员停职离岗,乙方须及时派出其他符合要求的人员接替,以保证甲方的工作任务不受影响。因人员更换造成的一切损失均由乙方承担,同时按考核实施细则扣减服务费。</w:t>
      </w:r>
    </w:p>
    <w:p>
      <w:pPr>
        <w:spacing w:line="360" w:lineRule="auto"/>
        <w:ind w:firstLine="560" w:firstLineChars="200"/>
        <w:rPr>
          <w:rFonts w:ascii="宋体" w:hAnsi="宋体" w:cs="宋体"/>
          <w:sz w:val="28"/>
          <w:szCs w:val="36"/>
        </w:rPr>
      </w:pPr>
      <w:r>
        <w:rPr>
          <w:rFonts w:hint="eastAsia" w:ascii="宋体" w:hAnsi="宋体" w:cs="宋体"/>
          <w:sz w:val="28"/>
          <w:szCs w:val="36"/>
        </w:rPr>
        <w:t>1.违反国家的法律、法规被行政或刑事拘留的；</w:t>
      </w:r>
    </w:p>
    <w:p>
      <w:pPr>
        <w:spacing w:line="360" w:lineRule="auto"/>
        <w:ind w:firstLine="560" w:firstLineChars="200"/>
        <w:rPr>
          <w:rFonts w:ascii="宋体" w:hAnsi="宋体" w:cs="宋体"/>
          <w:sz w:val="28"/>
          <w:szCs w:val="36"/>
        </w:rPr>
      </w:pPr>
      <w:r>
        <w:rPr>
          <w:rFonts w:hint="eastAsia" w:ascii="宋体" w:hAnsi="宋体" w:cs="宋体"/>
          <w:sz w:val="28"/>
          <w:szCs w:val="36"/>
        </w:rPr>
        <w:t>2.违反甲方的有关指令和规章制度,造成严重后果或不良影响的；</w:t>
      </w:r>
    </w:p>
    <w:p>
      <w:pPr>
        <w:spacing w:line="360" w:lineRule="auto"/>
        <w:ind w:firstLine="560" w:firstLineChars="200"/>
        <w:rPr>
          <w:rFonts w:ascii="宋体" w:hAnsi="宋体" w:cs="宋体"/>
          <w:sz w:val="28"/>
          <w:szCs w:val="36"/>
        </w:rPr>
      </w:pPr>
      <w:r>
        <w:rPr>
          <w:rFonts w:hint="eastAsia" w:ascii="宋体" w:hAnsi="宋体" w:cs="宋体"/>
          <w:sz w:val="28"/>
          <w:szCs w:val="36"/>
        </w:rPr>
        <w:t>3.打架斗殴,赌博,嫖娼,盗窃,吸毒贩毒的；</w:t>
      </w:r>
    </w:p>
    <w:p>
      <w:pPr>
        <w:spacing w:line="360" w:lineRule="auto"/>
        <w:ind w:firstLine="560" w:firstLineChars="200"/>
        <w:rPr>
          <w:rFonts w:ascii="宋体" w:hAnsi="宋体" w:cs="宋体"/>
          <w:sz w:val="28"/>
          <w:szCs w:val="36"/>
        </w:rPr>
      </w:pPr>
      <w:r>
        <w:rPr>
          <w:rFonts w:hint="eastAsia" w:ascii="宋体" w:hAnsi="宋体" w:cs="宋体"/>
          <w:sz w:val="28"/>
          <w:szCs w:val="36"/>
        </w:rPr>
        <w:t>4.擅自离岗、消极怠工,影响甲方执行任务的；</w:t>
      </w:r>
    </w:p>
    <w:p>
      <w:pPr>
        <w:spacing w:line="360" w:lineRule="auto"/>
        <w:ind w:firstLine="560" w:firstLineChars="200"/>
        <w:rPr>
          <w:rFonts w:ascii="宋体" w:hAnsi="宋体" w:cs="宋体"/>
          <w:sz w:val="28"/>
          <w:szCs w:val="36"/>
        </w:rPr>
      </w:pPr>
      <w:r>
        <w:rPr>
          <w:rFonts w:hint="eastAsia" w:ascii="宋体" w:hAnsi="宋体" w:cs="宋体"/>
          <w:sz w:val="28"/>
          <w:szCs w:val="36"/>
        </w:rPr>
        <w:t>5.玩忽值守,导致职责范围内机械设备失养,损坏的；</w:t>
      </w:r>
    </w:p>
    <w:p>
      <w:pPr>
        <w:spacing w:line="360" w:lineRule="auto"/>
        <w:ind w:firstLine="560" w:firstLineChars="200"/>
        <w:rPr>
          <w:rFonts w:ascii="宋体" w:hAnsi="宋体" w:cs="宋体"/>
          <w:sz w:val="28"/>
          <w:szCs w:val="36"/>
        </w:rPr>
      </w:pPr>
      <w:r>
        <w:rPr>
          <w:rFonts w:hint="eastAsia" w:ascii="宋体" w:hAnsi="宋体" w:cs="宋体"/>
          <w:sz w:val="28"/>
          <w:szCs w:val="36"/>
        </w:rPr>
        <w:t>6.隐瞒心脏病,高血压,糖尿病、精神类疾病等病情，在上岗后因此而不能胜任工作的；</w:t>
      </w:r>
    </w:p>
    <w:p>
      <w:pPr>
        <w:spacing w:line="360" w:lineRule="auto"/>
        <w:ind w:firstLine="560" w:firstLineChars="200"/>
        <w:rPr>
          <w:rFonts w:ascii="宋体" w:hAnsi="宋体" w:cs="宋体"/>
          <w:sz w:val="28"/>
          <w:szCs w:val="36"/>
        </w:rPr>
      </w:pPr>
      <w:r>
        <w:rPr>
          <w:rFonts w:hint="eastAsia" w:ascii="宋体" w:hAnsi="宋体" w:cs="宋体"/>
          <w:sz w:val="28"/>
          <w:szCs w:val="36"/>
        </w:rPr>
        <w:t>7.违反本合同其他约定,给甲方造成损失的。</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八、不可抗力</w:t>
      </w:r>
    </w:p>
    <w:p>
      <w:pPr>
        <w:spacing w:line="360" w:lineRule="auto"/>
        <w:ind w:firstLine="560" w:firstLineChars="200"/>
        <w:rPr>
          <w:rFonts w:ascii="宋体" w:hAnsi="宋体" w:cs="宋体"/>
          <w:sz w:val="28"/>
          <w:szCs w:val="36"/>
        </w:rPr>
      </w:pPr>
      <w:r>
        <w:rPr>
          <w:rFonts w:hint="eastAsia" w:ascii="宋体" w:hAnsi="宋体" w:cs="宋体"/>
          <w:sz w:val="28"/>
          <w:szCs w:val="36"/>
        </w:rPr>
        <w:t>（一）《中华人民共和国民法典》第一百八十条规定“不可抗力是不能预见、不能避免且不能克服的客观情况”。</w:t>
      </w:r>
    </w:p>
    <w:p>
      <w:pPr>
        <w:spacing w:line="360" w:lineRule="auto"/>
        <w:ind w:firstLine="560" w:firstLineChars="200"/>
        <w:rPr>
          <w:rFonts w:ascii="宋体" w:hAnsi="宋体" w:cs="宋体"/>
          <w:sz w:val="28"/>
          <w:szCs w:val="36"/>
        </w:rPr>
      </w:pPr>
      <w:r>
        <w:rPr>
          <w:rFonts w:hint="eastAsia" w:ascii="宋体" w:hAnsi="宋体" w:cs="宋体"/>
          <w:sz w:val="28"/>
          <w:szCs w:val="36"/>
        </w:rPr>
        <w:t>（二）因不可抗力不能履行合同的,根据不可抗力的影响,部分或者全部免除责任,但法律另有规定的除外。当事人迟延履行后发生不可抗力的,不能免除责任。</w:t>
      </w:r>
    </w:p>
    <w:p>
      <w:pPr>
        <w:spacing w:line="360" w:lineRule="auto"/>
        <w:ind w:firstLine="560" w:firstLineChars="200"/>
        <w:rPr>
          <w:rFonts w:ascii="宋体" w:hAnsi="宋体" w:cs="宋体"/>
          <w:sz w:val="28"/>
          <w:szCs w:val="36"/>
        </w:rPr>
      </w:pPr>
      <w:r>
        <w:rPr>
          <w:rFonts w:hint="eastAsia" w:ascii="宋体" w:hAnsi="宋体" w:cs="宋体"/>
          <w:sz w:val="28"/>
          <w:szCs w:val="36"/>
        </w:rPr>
        <w:t>（三）甲乙双方中任何一方由于不可抗力影响合同执行或不能履行合同的,发生不可抗力一方应及时将情況通知另ー方，以减轻可能给对方造成的损失,并应当在合理期限内提供证明。在此情况下,双方应通过友好协商尽快解决本合同的执行问题。</w:t>
      </w:r>
    </w:p>
    <w:p>
      <w:pPr>
        <w:spacing w:line="520" w:lineRule="exact"/>
        <w:ind w:firstLine="560" w:firstLineChars="200"/>
        <w:rPr>
          <w:rFonts w:ascii="宋体" w:hAnsi="宋体" w:cs="宋体"/>
          <w:sz w:val="28"/>
          <w:szCs w:val="28"/>
        </w:rPr>
      </w:pPr>
      <w:r>
        <w:rPr>
          <w:rFonts w:hint="eastAsia" w:ascii="黑体" w:hAnsi="黑体" w:eastAsia="黑体" w:cs="黑体"/>
          <w:sz w:val="28"/>
          <w:szCs w:val="28"/>
        </w:rPr>
        <w:t>九、合同终止</w:t>
      </w:r>
    </w:p>
    <w:p>
      <w:pPr>
        <w:spacing w:line="360" w:lineRule="auto"/>
        <w:ind w:firstLine="560" w:firstLineChars="200"/>
        <w:rPr>
          <w:rFonts w:ascii="宋体" w:hAnsi="宋体" w:cs="宋体"/>
          <w:sz w:val="28"/>
          <w:szCs w:val="36"/>
        </w:rPr>
      </w:pPr>
      <w:r>
        <w:rPr>
          <w:rFonts w:hint="eastAsia" w:ascii="宋体" w:hAnsi="宋体" w:cs="宋体"/>
          <w:sz w:val="28"/>
          <w:szCs w:val="36"/>
        </w:rPr>
        <w:t>任何一方严重违反合同,在收到对方违约通知书30天内仍未改正违约的,另一方可立即终止本合同。任何一方提出,另ー方同意,可终止合同。</w:t>
      </w:r>
    </w:p>
    <w:p>
      <w:pPr>
        <w:spacing w:line="520" w:lineRule="exact"/>
        <w:ind w:firstLine="560" w:firstLineChars="200"/>
        <w:rPr>
          <w:rFonts w:ascii="宋体" w:hAnsi="宋体" w:cs="宋体"/>
          <w:b/>
          <w:bCs/>
          <w:sz w:val="28"/>
          <w:szCs w:val="28"/>
        </w:rPr>
      </w:pPr>
      <w:r>
        <w:rPr>
          <w:rFonts w:hint="eastAsia" w:ascii="黑体" w:hAnsi="黑体" w:eastAsia="黑体" w:cs="黑体"/>
          <w:sz w:val="28"/>
          <w:szCs w:val="28"/>
        </w:rPr>
        <w:t>十、法律诉讼</w:t>
      </w:r>
    </w:p>
    <w:p>
      <w:pPr>
        <w:spacing w:line="360" w:lineRule="auto"/>
        <w:ind w:firstLine="560" w:firstLineChars="200"/>
        <w:rPr>
          <w:rFonts w:ascii="宋体" w:hAnsi="宋体" w:cs="宋体"/>
          <w:sz w:val="28"/>
          <w:szCs w:val="36"/>
        </w:rPr>
      </w:pPr>
      <w:r>
        <w:rPr>
          <w:rFonts w:hint="eastAsia" w:ascii="宋体" w:hAnsi="宋体" w:cs="宋体"/>
          <w:sz w:val="28"/>
          <w:szCs w:val="36"/>
        </w:rPr>
        <w:t>签约双方在履约中发生争执和分歧,双方应通过友好协商解决,若经协商不能达成协议时,可向甲方所在地人民法院提起诉讼。诉讼受理期间,双方应继续执行合同其余部分。</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十ー、其它</w:t>
      </w:r>
    </w:p>
    <w:p>
      <w:pPr>
        <w:spacing w:line="360" w:lineRule="auto"/>
        <w:ind w:firstLine="560" w:firstLineChars="200"/>
        <w:rPr>
          <w:rFonts w:ascii="宋体" w:hAnsi="宋体" w:cs="宋体"/>
          <w:sz w:val="28"/>
          <w:szCs w:val="36"/>
        </w:rPr>
      </w:pPr>
      <w:r>
        <w:rPr>
          <w:rFonts w:hint="eastAsia" w:ascii="宋体" w:hAnsi="宋体" w:cs="宋体"/>
          <w:sz w:val="28"/>
          <w:szCs w:val="36"/>
        </w:rPr>
        <w:t>（一）本合同正本八份,具有同等法律效力,甲方执六份、乙方执二份,合同自签字之日起即时生效。</w:t>
      </w:r>
    </w:p>
    <w:p>
      <w:pPr>
        <w:spacing w:line="360" w:lineRule="auto"/>
        <w:ind w:firstLine="560" w:firstLineChars="200"/>
        <w:rPr>
          <w:rFonts w:ascii="宋体" w:hAnsi="宋体" w:cs="宋体"/>
          <w:sz w:val="28"/>
          <w:szCs w:val="36"/>
        </w:rPr>
      </w:pPr>
      <w:r>
        <w:rPr>
          <w:rFonts w:hint="eastAsia" w:ascii="宋体" w:hAnsi="宋体" w:cs="宋体"/>
          <w:sz w:val="28"/>
          <w:szCs w:val="36"/>
        </w:rPr>
        <w:t xml:space="preserve">（二）下列文件是本合同的部分,并与本合同一起阅读和解释。     </w:t>
      </w:r>
    </w:p>
    <w:p>
      <w:pPr>
        <w:spacing w:line="360" w:lineRule="auto"/>
        <w:ind w:firstLine="560" w:firstLineChars="200"/>
        <w:rPr>
          <w:rFonts w:ascii="宋体" w:hAnsi="宋体" w:cs="宋体"/>
          <w:sz w:val="28"/>
          <w:szCs w:val="36"/>
        </w:rPr>
      </w:pPr>
      <w:r>
        <w:rPr>
          <w:rFonts w:hint="eastAsia" w:ascii="宋体" w:hAnsi="宋体" w:cs="宋体"/>
          <w:sz w:val="28"/>
          <w:szCs w:val="36"/>
        </w:rPr>
        <w:t>1.附件1：</w:t>
      </w:r>
      <w:r>
        <w:rPr>
          <w:rFonts w:hint="eastAsia" w:ascii="宋体" w:hAnsi="宋体" w:cs="宋体"/>
          <w:sz w:val="28"/>
          <w:szCs w:val="36"/>
          <w:lang w:eastAsia="zh-CN"/>
        </w:rPr>
        <w:t>高县人民医院全院污水处理站运维服务</w:t>
      </w:r>
      <w:r>
        <w:rPr>
          <w:rFonts w:hint="eastAsia" w:ascii="宋体" w:hAnsi="宋体" w:cs="宋体"/>
          <w:sz w:val="28"/>
          <w:szCs w:val="36"/>
        </w:rPr>
        <w:t>工作质量考评实施细则；</w:t>
      </w:r>
    </w:p>
    <w:p>
      <w:pPr>
        <w:spacing w:line="360" w:lineRule="auto"/>
        <w:ind w:firstLine="560" w:firstLineChars="200"/>
        <w:rPr>
          <w:rFonts w:ascii="宋体" w:hAnsi="宋体" w:cs="宋体"/>
          <w:sz w:val="28"/>
          <w:szCs w:val="36"/>
        </w:rPr>
      </w:pPr>
      <w:r>
        <w:rPr>
          <w:rFonts w:hint="eastAsia" w:ascii="宋体" w:hAnsi="宋体" w:cs="宋体"/>
          <w:sz w:val="28"/>
          <w:szCs w:val="36"/>
        </w:rPr>
        <w:t>2.附件2：</w:t>
      </w:r>
      <w:r>
        <w:rPr>
          <w:rFonts w:hint="eastAsia" w:ascii="宋体" w:hAnsi="宋体" w:cs="宋体"/>
          <w:sz w:val="28"/>
          <w:szCs w:val="36"/>
          <w:lang w:eastAsia="zh-CN"/>
        </w:rPr>
        <w:t>污水处理站运维</w:t>
      </w:r>
      <w:r>
        <w:rPr>
          <w:rFonts w:hint="eastAsia" w:ascii="宋体" w:hAnsi="宋体" w:cs="宋体"/>
          <w:sz w:val="28"/>
          <w:szCs w:val="36"/>
        </w:rPr>
        <w:t>及配员要求表；</w:t>
      </w:r>
    </w:p>
    <w:p>
      <w:pPr>
        <w:spacing w:line="360" w:lineRule="auto"/>
        <w:ind w:firstLine="560" w:firstLineChars="200"/>
        <w:rPr>
          <w:rFonts w:ascii="宋体" w:hAnsi="宋体" w:cs="宋体"/>
          <w:sz w:val="28"/>
          <w:szCs w:val="36"/>
        </w:rPr>
      </w:pPr>
      <w:r>
        <w:rPr>
          <w:rFonts w:hint="eastAsia" w:ascii="宋体" w:hAnsi="宋体" w:cs="宋体"/>
          <w:sz w:val="28"/>
          <w:szCs w:val="36"/>
        </w:rPr>
        <w:t>3.甲乙双方因项目实施需要签订的相关文件。</w:t>
      </w:r>
    </w:p>
    <w:p>
      <w:pPr>
        <w:spacing w:line="360" w:lineRule="auto"/>
        <w:ind w:firstLine="560" w:firstLineChars="200"/>
        <w:rPr>
          <w:rFonts w:ascii="宋体" w:hAnsi="宋体" w:cs="宋体"/>
          <w:sz w:val="28"/>
          <w:szCs w:val="36"/>
        </w:rPr>
      </w:pPr>
      <w:r>
        <w:rPr>
          <w:rFonts w:hint="eastAsia" w:ascii="宋体" w:hAnsi="宋体" w:cs="宋体"/>
          <w:sz w:val="28"/>
          <w:szCs w:val="36"/>
        </w:rPr>
        <w:t>（三）本合同到期，如双方无异议，可续签本合同。</w:t>
      </w:r>
    </w:p>
    <w:p>
      <w:pPr>
        <w:spacing w:line="360" w:lineRule="auto"/>
        <w:ind w:firstLine="560" w:firstLineChars="200"/>
        <w:rPr>
          <w:rFonts w:ascii="宋体" w:hAnsi="宋体" w:cs="宋体"/>
          <w:sz w:val="28"/>
          <w:szCs w:val="36"/>
        </w:rPr>
      </w:pPr>
      <w:r>
        <w:rPr>
          <w:rFonts w:hint="eastAsia" w:ascii="宋体" w:hAnsi="宋体" w:cs="宋体"/>
          <w:sz w:val="28"/>
          <w:szCs w:val="36"/>
        </w:rPr>
        <w:t>（四）本合同未尽事宜，由双方另行协商处理。</w:t>
      </w:r>
    </w:p>
    <w:p>
      <w:pPr>
        <w:spacing w:line="360" w:lineRule="auto"/>
        <w:ind w:firstLine="560" w:firstLineChars="200"/>
        <w:rPr>
          <w:rFonts w:ascii="宋体" w:hAnsi="宋体" w:cs="宋体"/>
          <w:sz w:val="28"/>
          <w:szCs w:val="36"/>
        </w:rPr>
      </w:pPr>
      <w:r>
        <w:rPr>
          <w:rFonts w:hint="eastAsia" w:ascii="宋体" w:hAnsi="宋体" w:cs="宋体"/>
          <w:sz w:val="28"/>
          <w:szCs w:val="36"/>
        </w:rPr>
        <w:t>（以下无正文）</w:t>
      </w:r>
    </w:p>
    <w:p>
      <w:pPr>
        <w:spacing w:before="150" w:after="150" w:line="520" w:lineRule="exact"/>
        <w:jc w:val="left"/>
        <w:rPr>
          <w:rFonts w:ascii="仿宋_GB2312" w:hAnsi="仿宋_GB2312" w:eastAsia="仿宋_GB2312" w:cs="仿宋_GB2312"/>
          <w:sz w:val="28"/>
          <w:szCs w:val="28"/>
        </w:rPr>
      </w:pPr>
    </w:p>
    <w:p>
      <w:pPr>
        <w:spacing w:before="150" w:after="150" w:line="520" w:lineRule="exact"/>
        <w:jc w:val="left"/>
        <w:rPr>
          <w:rFonts w:ascii="仿宋_GB2312" w:hAnsi="仿宋_GB2312" w:eastAsia="仿宋_GB2312" w:cs="仿宋_GB2312"/>
          <w:sz w:val="28"/>
          <w:szCs w:val="28"/>
        </w:rPr>
      </w:pPr>
    </w:p>
    <w:p>
      <w:pPr>
        <w:spacing w:line="360" w:lineRule="auto"/>
        <w:ind w:firstLine="560" w:firstLineChars="200"/>
        <w:rPr>
          <w:rFonts w:ascii="宋体" w:hAnsi="宋体" w:cs="宋体"/>
          <w:sz w:val="28"/>
          <w:szCs w:val="36"/>
        </w:rPr>
      </w:pPr>
    </w:p>
    <w:p>
      <w:pPr>
        <w:spacing w:line="360" w:lineRule="auto"/>
        <w:ind w:firstLine="560" w:firstLineChars="200"/>
        <w:rPr>
          <w:rFonts w:ascii="宋体" w:hAnsi="宋体" w:cs="宋体"/>
          <w:sz w:val="28"/>
          <w:szCs w:val="36"/>
        </w:rPr>
      </w:pPr>
      <w:r>
        <w:rPr>
          <w:rFonts w:hint="eastAsia" w:ascii="宋体" w:hAnsi="宋体" w:cs="宋体"/>
          <w:sz w:val="28"/>
          <w:szCs w:val="36"/>
        </w:rPr>
        <w:t xml:space="preserve">甲方（盖章）：   </w:t>
      </w:r>
      <w:r>
        <w:rPr>
          <w:rFonts w:ascii="宋体" w:hAnsi="宋体" w:cs="宋体"/>
          <w:sz w:val="28"/>
          <w:szCs w:val="36"/>
          <w:lang w:val="en"/>
        </w:rPr>
        <w:t xml:space="preserve">              </w:t>
      </w:r>
      <w:r>
        <w:rPr>
          <w:rFonts w:hint="eastAsia" w:ascii="宋体" w:hAnsi="宋体" w:cs="宋体"/>
          <w:sz w:val="28"/>
          <w:szCs w:val="36"/>
        </w:rPr>
        <w:t xml:space="preserve">  乙方（盖章）：</w:t>
      </w:r>
    </w:p>
    <w:p>
      <w:pPr>
        <w:spacing w:line="360" w:lineRule="auto"/>
        <w:ind w:firstLine="560" w:firstLineChars="200"/>
        <w:rPr>
          <w:rFonts w:ascii="宋体" w:hAnsi="宋体" w:cs="宋体"/>
          <w:sz w:val="28"/>
          <w:szCs w:val="36"/>
        </w:rPr>
      </w:pPr>
      <w:r>
        <w:rPr>
          <w:rFonts w:hint="eastAsia" w:ascii="宋体" w:hAnsi="宋体" w:cs="宋体"/>
          <w:sz w:val="28"/>
          <w:szCs w:val="36"/>
        </w:rPr>
        <w:t xml:space="preserve">法定代表人：                     法定代表人： </w:t>
      </w:r>
    </w:p>
    <w:p>
      <w:pPr>
        <w:spacing w:line="360" w:lineRule="auto"/>
        <w:ind w:firstLine="560" w:firstLineChars="200"/>
        <w:rPr>
          <w:rFonts w:ascii="宋体" w:hAnsi="宋体" w:cs="宋体"/>
          <w:sz w:val="28"/>
          <w:szCs w:val="36"/>
        </w:rPr>
      </w:pPr>
      <w:r>
        <w:rPr>
          <w:rFonts w:hint="eastAsia" w:ascii="宋体" w:hAnsi="宋体" w:cs="宋体"/>
          <w:sz w:val="28"/>
          <w:szCs w:val="36"/>
        </w:rPr>
        <w:t xml:space="preserve">单位地址：    </w:t>
      </w:r>
      <w:r>
        <w:rPr>
          <w:rFonts w:ascii="宋体" w:hAnsi="宋体" w:cs="宋体"/>
          <w:sz w:val="28"/>
          <w:szCs w:val="36"/>
          <w:lang w:val="en"/>
        </w:rPr>
        <w:t xml:space="preserve">                </w:t>
      </w:r>
      <w:r>
        <w:rPr>
          <w:rFonts w:hint="eastAsia" w:ascii="宋体" w:hAnsi="宋体" w:cs="宋体"/>
          <w:sz w:val="28"/>
          <w:szCs w:val="36"/>
        </w:rPr>
        <w:t xml:space="preserve">   单位地址：</w:t>
      </w:r>
    </w:p>
    <w:p>
      <w:pPr>
        <w:spacing w:line="360" w:lineRule="auto"/>
        <w:ind w:firstLine="560" w:firstLineChars="200"/>
        <w:rPr>
          <w:rFonts w:ascii="宋体" w:hAnsi="宋体" w:cs="宋体"/>
          <w:sz w:val="28"/>
          <w:szCs w:val="36"/>
        </w:rPr>
      </w:pPr>
      <w:r>
        <w:rPr>
          <w:rFonts w:hint="eastAsia" w:ascii="宋体" w:hAnsi="宋体" w:cs="宋体"/>
          <w:sz w:val="28"/>
          <w:szCs w:val="36"/>
        </w:rPr>
        <w:t xml:space="preserve">联系人：          </w:t>
      </w:r>
      <w:r>
        <w:rPr>
          <w:rFonts w:ascii="宋体" w:hAnsi="宋体" w:cs="宋体"/>
          <w:sz w:val="28"/>
          <w:szCs w:val="36"/>
          <w:lang w:val="en"/>
        </w:rPr>
        <w:t xml:space="preserve">        </w:t>
      </w:r>
      <w:r>
        <w:rPr>
          <w:rFonts w:hint="eastAsia" w:ascii="宋体" w:hAnsi="宋体" w:cs="宋体"/>
          <w:sz w:val="28"/>
          <w:szCs w:val="36"/>
        </w:rPr>
        <w:t xml:space="preserve">       联系人：</w:t>
      </w:r>
    </w:p>
    <w:p>
      <w:pPr>
        <w:spacing w:line="360" w:lineRule="auto"/>
        <w:ind w:firstLine="560" w:firstLineChars="200"/>
        <w:rPr>
          <w:rFonts w:ascii="宋体" w:hAnsi="宋体" w:cs="宋体"/>
          <w:sz w:val="28"/>
          <w:szCs w:val="36"/>
        </w:rPr>
      </w:pPr>
      <w:r>
        <w:rPr>
          <w:rFonts w:hint="eastAsia" w:ascii="宋体" w:hAnsi="宋体" w:cs="宋体"/>
          <w:sz w:val="28"/>
          <w:szCs w:val="36"/>
        </w:rPr>
        <w:t>统一社会信用代码：               账 号：</w:t>
      </w:r>
    </w:p>
    <w:p>
      <w:pPr>
        <w:spacing w:line="360" w:lineRule="auto"/>
        <w:ind w:firstLine="560" w:firstLineChars="200"/>
        <w:rPr>
          <w:rFonts w:ascii="宋体" w:hAnsi="宋体" w:cs="宋体"/>
          <w:sz w:val="28"/>
          <w:szCs w:val="36"/>
        </w:rPr>
      </w:pPr>
      <w:r>
        <w:rPr>
          <w:rFonts w:hint="eastAsia" w:ascii="宋体" w:hAnsi="宋体" w:cs="宋体"/>
          <w:sz w:val="28"/>
          <w:szCs w:val="36"/>
        </w:rPr>
        <w:t xml:space="preserve">             </w:t>
      </w:r>
      <w:r>
        <w:rPr>
          <w:rFonts w:ascii="宋体" w:hAnsi="宋体" w:cs="宋体"/>
          <w:sz w:val="28"/>
          <w:szCs w:val="36"/>
          <w:lang w:val="en"/>
        </w:rPr>
        <w:t xml:space="preserve">                   </w:t>
      </w:r>
      <w:r>
        <w:rPr>
          <w:rFonts w:hint="eastAsia" w:ascii="宋体" w:hAnsi="宋体" w:cs="宋体"/>
          <w:sz w:val="28"/>
          <w:szCs w:val="36"/>
        </w:rPr>
        <w:t xml:space="preserve"> 开户行：</w:t>
      </w:r>
    </w:p>
    <w:p>
      <w:pPr>
        <w:spacing w:line="360" w:lineRule="auto"/>
        <w:ind w:firstLine="560" w:firstLineChars="200"/>
        <w:rPr>
          <w:rFonts w:ascii="宋体" w:hAnsi="宋体" w:cs="宋体"/>
          <w:sz w:val="28"/>
          <w:szCs w:val="36"/>
        </w:rPr>
      </w:pPr>
      <w:r>
        <w:rPr>
          <w:rFonts w:hint="eastAsia" w:ascii="宋体" w:hAnsi="宋体" w:cs="宋体"/>
          <w:sz w:val="28"/>
          <w:szCs w:val="36"/>
        </w:rPr>
        <w:t>签订地点：四川宜宾</w:t>
      </w:r>
    </w:p>
    <w:p>
      <w:pPr>
        <w:spacing w:line="360" w:lineRule="auto"/>
        <w:ind w:firstLine="560" w:firstLineChars="200"/>
        <w:rPr>
          <w:rFonts w:ascii="宋体" w:hAnsi="宋体" w:cs="宋体"/>
          <w:sz w:val="28"/>
          <w:szCs w:val="36"/>
        </w:rPr>
      </w:pPr>
      <w:r>
        <w:rPr>
          <w:rFonts w:hint="eastAsia" w:ascii="宋体" w:hAnsi="宋体" w:cs="宋体"/>
          <w:sz w:val="28"/>
          <w:szCs w:val="36"/>
        </w:rPr>
        <w:t>签订时间：     年  月  日                   年  月  日</w:t>
      </w:r>
    </w:p>
    <w:p>
      <w:pPr>
        <w:pStyle w:val="21"/>
        <w:spacing w:after="0" w:line="360" w:lineRule="auto"/>
        <w:jc w:val="center"/>
        <w:rPr>
          <w:rFonts w:hAnsi="宋体" w:cs="宋体"/>
          <w:b/>
          <w:bCs/>
          <w:sz w:val="32"/>
          <w:szCs w:val="32"/>
        </w:rPr>
      </w:pPr>
    </w:p>
    <w:p>
      <w:pPr>
        <w:pStyle w:val="21"/>
        <w:spacing w:after="0" w:line="360" w:lineRule="auto"/>
        <w:jc w:val="center"/>
        <w:rPr>
          <w:rFonts w:hAnsi="宋体" w:cs="宋体"/>
          <w:b/>
          <w:bCs/>
          <w:sz w:val="32"/>
          <w:szCs w:val="32"/>
        </w:rPr>
      </w:pPr>
    </w:p>
    <w:p>
      <w:pPr>
        <w:pStyle w:val="21"/>
        <w:spacing w:after="0" w:line="360" w:lineRule="auto"/>
        <w:jc w:val="center"/>
        <w:rPr>
          <w:rFonts w:hAnsi="宋体" w:cs="宋体"/>
          <w:b/>
          <w:bCs/>
          <w:sz w:val="32"/>
          <w:szCs w:val="32"/>
        </w:rPr>
      </w:pPr>
    </w:p>
    <w:p>
      <w:pPr>
        <w:rPr>
          <w:rFonts w:hAnsi="宋体" w:cs="宋体"/>
          <w:szCs w:val="21"/>
        </w:rPr>
      </w:pPr>
    </w:p>
    <w:p>
      <w:pPr>
        <w:pStyle w:val="21"/>
      </w:pPr>
    </w:p>
    <w:p>
      <w:pPr>
        <w:pStyle w:val="21"/>
        <w:spacing w:after="0" w:line="360" w:lineRule="auto"/>
        <w:rPr>
          <w:rFonts w:hAnsi="宋体" w:cs="宋体"/>
          <w:szCs w:val="21"/>
        </w:rPr>
      </w:pPr>
    </w:p>
    <w:p>
      <w:pPr>
        <w:pStyle w:val="21"/>
        <w:spacing w:after="0" w:line="360" w:lineRule="auto"/>
        <w:rPr>
          <w:rFonts w:hAnsi="宋体" w:cs="宋体"/>
          <w:szCs w:val="21"/>
        </w:rPr>
      </w:pPr>
    </w:p>
    <w:sectPr>
      <w:footerReference r:id="rId7" w:type="default"/>
      <w:type w:val="continuous"/>
      <w:pgSz w:w="11906" w:h="16838"/>
      <w:pgMar w:top="1440" w:right="1080" w:bottom="1440" w:left="1080" w:header="427" w:footer="757" w:gutter="0"/>
      <w:pgNumType w:fmt="decimal"/>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yntax">
    <w:altName w:val="Segoe Print"/>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Noto Sans CJK JP Regular">
    <w:altName w:val="宋体"/>
    <w:panose1 w:val="00000000000000000000"/>
    <w:charset w:val="86"/>
    <w:family w:val="swiss"/>
    <w:pitch w:val="default"/>
    <w:sig w:usb0="00000000" w:usb1="00000000" w:usb2="00000016" w:usb3="00000000" w:csb0="602E0107" w:csb1="00000000"/>
  </w:font>
  <w:font w:name="ˎ̥">
    <w:altName w:val="宋体"/>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lang w:val="en-US"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4ThpgVAgAAFQQAAA4AAAAAAAAA&#10;AQAgAAAAHwEAAGRycy9lMm9Eb2MueG1sUEsFBgAAAAAGAAYAWQEAAKYFA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D8E0A"/>
    <w:multiLevelType w:val="multilevel"/>
    <w:tmpl w:val="B04D8E0A"/>
    <w:lvl w:ilvl="0" w:tentative="0">
      <w:start w:val="1"/>
      <w:numFmt w:val="chineseCounting"/>
      <w:pStyle w:val="194"/>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254"/>
      <w:suff w:val="nothing"/>
      <w:lvlText w:val="%2、"/>
      <w:lvlJc w:val="left"/>
      <w:pPr>
        <w:ind w:left="0" w:firstLine="0"/>
      </w:pPr>
      <w:rPr>
        <w:rFonts w:hint="eastAsia" w:ascii="宋体" w:hAnsi="宋体" w:eastAsia="宋体" w:cs="宋体"/>
      </w:rPr>
    </w:lvl>
    <w:lvl w:ilvl="2" w:tentative="0">
      <w:start w:val="1"/>
      <w:numFmt w:val="chineseCounting"/>
      <w:pStyle w:val="283"/>
      <w:suff w:val="nothing"/>
      <w:lvlText w:val="(%3)"/>
      <w:lvlJc w:val="left"/>
      <w:pPr>
        <w:tabs>
          <w:tab w:val="left" w:pos="0"/>
        </w:tabs>
        <w:ind w:left="0" w:firstLine="0"/>
      </w:pPr>
      <w:rPr>
        <w:rFonts w:hint="eastAsia" w:ascii="宋体" w:hAnsi="宋体" w:eastAsia="宋体" w:cs="宋体"/>
      </w:rPr>
    </w:lvl>
    <w:lvl w:ilvl="3" w:tentative="0">
      <w:start w:val="1"/>
      <w:numFmt w:val="decimal"/>
      <w:pStyle w:val="158"/>
      <w:suff w:val="nothing"/>
      <w:lvlText w:val="%4."/>
      <w:lvlJc w:val="left"/>
      <w:pPr>
        <w:tabs>
          <w:tab w:val="left" w:pos="0"/>
        </w:tabs>
        <w:ind w:left="0" w:firstLine="0"/>
      </w:pPr>
      <w:rPr>
        <w:rFonts w:hint="eastAsia" w:ascii="宋体" w:hAnsi="宋体" w:eastAsia="宋体" w:cs="宋体"/>
      </w:rPr>
    </w:lvl>
    <w:lvl w:ilvl="4" w:tentative="0">
      <w:start w:val="1"/>
      <w:numFmt w:val="decimal"/>
      <w:pStyle w:val="282"/>
      <w:suff w:val="nothing"/>
      <w:lvlText w:val="%4.%5"/>
      <w:lvlJc w:val="left"/>
      <w:pPr>
        <w:ind w:left="0" w:firstLine="0"/>
      </w:pPr>
      <w:rPr>
        <w:rFonts w:hint="eastAsia" w:ascii="宋体" w:hAnsi="宋体" w:eastAsia="宋体" w:cs="宋体"/>
      </w:rPr>
    </w:lvl>
    <w:lvl w:ilvl="5" w:tentative="0">
      <w:start w:val="1"/>
      <w:numFmt w:val="decimal"/>
      <w:pStyle w:val="157"/>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5BD5EA5"/>
    <w:multiLevelType w:val="singleLevel"/>
    <w:tmpl w:val="B5BD5EA5"/>
    <w:lvl w:ilvl="0" w:tentative="0">
      <w:start w:val="4"/>
      <w:numFmt w:val="chineseCounting"/>
      <w:suff w:val="space"/>
      <w:lvlText w:val="第%1章"/>
      <w:lvlJc w:val="left"/>
      <w:rPr>
        <w:rFonts w:hint="eastAsia"/>
      </w:rPr>
    </w:lvl>
  </w:abstractNum>
  <w:abstractNum w:abstractNumId="2">
    <w:nsid w:val="DA714377"/>
    <w:multiLevelType w:val="singleLevel"/>
    <w:tmpl w:val="DA714377"/>
    <w:lvl w:ilvl="0" w:tentative="0">
      <w:start w:val="1"/>
      <w:numFmt w:val="decimal"/>
      <w:lvlText w:val="%1."/>
      <w:lvlJc w:val="left"/>
      <w:pPr>
        <w:tabs>
          <w:tab w:val="left" w:pos="312"/>
        </w:tabs>
      </w:pPr>
    </w:lvl>
  </w:abstractNum>
  <w:abstractNum w:abstractNumId="3">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291"/>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5">
    <w:nsid w:val="1F5E6300"/>
    <w:multiLevelType w:val="singleLevel"/>
    <w:tmpl w:val="1F5E6300"/>
    <w:lvl w:ilvl="0" w:tentative="0">
      <w:start w:val="1"/>
      <w:numFmt w:val="chineseCounting"/>
      <w:suff w:val="nothing"/>
      <w:lvlText w:val="%1、"/>
      <w:lvlJc w:val="left"/>
      <w:rPr>
        <w:rFonts w:hint="eastAsia"/>
      </w:rPr>
    </w:lvl>
  </w:abstractNum>
  <w:abstractNum w:abstractNumId="6">
    <w:nsid w:val="23BBA9F2"/>
    <w:multiLevelType w:val="singleLevel"/>
    <w:tmpl w:val="23BBA9F2"/>
    <w:lvl w:ilvl="0" w:tentative="0">
      <w:start w:val="1"/>
      <w:numFmt w:val="decimal"/>
      <w:lvlText w:val="%1."/>
      <w:lvlJc w:val="left"/>
      <w:pPr>
        <w:tabs>
          <w:tab w:val="left" w:pos="312"/>
        </w:tabs>
      </w:pPr>
    </w:lvl>
  </w:abstractNum>
  <w:abstractNum w:abstractNumId="7">
    <w:nsid w:val="388F0B40"/>
    <w:multiLevelType w:val="multilevel"/>
    <w:tmpl w:val="388F0B40"/>
    <w:lvl w:ilvl="0" w:tentative="0">
      <w:start w:val="1"/>
      <w:numFmt w:val="ideographDigital"/>
      <w:lvlText w:val="（%1）"/>
      <w:lvlJc w:val="left"/>
      <w:pPr>
        <w:ind w:left="120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72BE28CA"/>
    <w:multiLevelType w:val="multilevel"/>
    <w:tmpl w:val="72BE28CA"/>
    <w:lvl w:ilvl="0" w:tentative="0">
      <w:start w:val="1"/>
      <w:numFmt w:val="decimal"/>
      <w:pStyle w:val="20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189"/>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7037E74"/>
    <w:multiLevelType w:val="multilevel"/>
    <w:tmpl w:val="77037E74"/>
    <w:lvl w:ilvl="0" w:tentative="0">
      <w:start w:val="1"/>
      <w:numFmt w:val="decimal"/>
      <w:pStyle w:val="20"/>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93E07D5"/>
    <w:multiLevelType w:val="multilevel"/>
    <w:tmpl w:val="793E07D5"/>
    <w:lvl w:ilvl="0" w:tentative="0">
      <w:start w:val="1"/>
      <w:numFmt w:val="decimal"/>
      <w:pStyle w:val="24"/>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0"/>
  </w:num>
  <w:num w:numId="3">
    <w:abstractNumId w:val="11"/>
  </w:num>
  <w:num w:numId="4">
    <w:abstractNumId w:val="0"/>
  </w:num>
  <w:num w:numId="5">
    <w:abstractNumId w:val="9"/>
  </w:num>
  <w:num w:numId="6">
    <w:abstractNumId w:val="8"/>
  </w:num>
  <w:num w:numId="7">
    <w:abstractNumId w:val="3"/>
  </w:num>
  <w:num w:numId="8">
    <w:abstractNumId w:val="1"/>
  </w:num>
  <w:num w:numId="9">
    <w:abstractNumId w:val="5"/>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24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xMmE5M2M0YWY3Y2JjNTAzNWQ1OTkyZTI1M2FkNTgifQ=="/>
  </w:docVars>
  <w:rsids>
    <w:rsidRoot w:val="56566BFD"/>
    <w:rsid w:val="000028C1"/>
    <w:rsid w:val="00006AA0"/>
    <w:rsid w:val="000078D4"/>
    <w:rsid w:val="0001103F"/>
    <w:rsid w:val="00011885"/>
    <w:rsid w:val="00013389"/>
    <w:rsid w:val="00013D6A"/>
    <w:rsid w:val="00020BAD"/>
    <w:rsid w:val="00023DFC"/>
    <w:rsid w:val="00024BFF"/>
    <w:rsid w:val="00025A42"/>
    <w:rsid w:val="0003344E"/>
    <w:rsid w:val="00040228"/>
    <w:rsid w:val="00040F46"/>
    <w:rsid w:val="0004398C"/>
    <w:rsid w:val="00043CC2"/>
    <w:rsid w:val="00044E63"/>
    <w:rsid w:val="00050A37"/>
    <w:rsid w:val="00051622"/>
    <w:rsid w:val="00053661"/>
    <w:rsid w:val="0005411E"/>
    <w:rsid w:val="00054D29"/>
    <w:rsid w:val="00056B43"/>
    <w:rsid w:val="00056BCE"/>
    <w:rsid w:val="000605E3"/>
    <w:rsid w:val="00066E42"/>
    <w:rsid w:val="00070486"/>
    <w:rsid w:val="00080F13"/>
    <w:rsid w:val="00082397"/>
    <w:rsid w:val="00083F70"/>
    <w:rsid w:val="000861A9"/>
    <w:rsid w:val="00086229"/>
    <w:rsid w:val="0009307C"/>
    <w:rsid w:val="0009402C"/>
    <w:rsid w:val="00094A16"/>
    <w:rsid w:val="00095180"/>
    <w:rsid w:val="00097BA4"/>
    <w:rsid w:val="000A0C97"/>
    <w:rsid w:val="000A18F3"/>
    <w:rsid w:val="000A4E4C"/>
    <w:rsid w:val="000A6C21"/>
    <w:rsid w:val="000A6EB0"/>
    <w:rsid w:val="000B05E9"/>
    <w:rsid w:val="000B070F"/>
    <w:rsid w:val="000B129E"/>
    <w:rsid w:val="000B205C"/>
    <w:rsid w:val="000B29B2"/>
    <w:rsid w:val="000B3C4F"/>
    <w:rsid w:val="000B478F"/>
    <w:rsid w:val="000B5372"/>
    <w:rsid w:val="000B677C"/>
    <w:rsid w:val="000C5023"/>
    <w:rsid w:val="000C512E"/>
    <w:rsid w:val="000C6C18"/>
    <w:rsid w:val="000C6FAB"/>
    <w:rsid w:val="000C775F"/>
    <w:rsid w:val="000C7FE4"/>
    <w:rsid w:val="000D1E91"/>
    <w:rsid w:val="000D3104"/>
    <w:rsid w:val="000D3492"/>
    <w:rsid w:val="000D4517"/>
    <w:rsid w:val="000D463C"/>
    <w:rsid w:val="000E0628"/>
    <w:rsid w:val="000E31A9"/>
    <w:rsid w:val="000E6F0C"/>
    <w:rsid w:val="000F632C"/>
    <w:rsid w:val="001004CE"/>
    <w:rsid w:val="00101D6D"/>
    <w:rsid w:val="00107857"/>
    <w:rsid w:val="0011204B"/>
    <w:rsid w:val="00114AA1"/>
    <w:rsid w:val="0011598C"/>
    <w:rsid w:val="001209C8"/>
    <w:rsid w:val="00122719"/>
    <w:rsid w:val="00123534"/>
    <w:rsid w:val="001250FF"/>
    <w:rsid w:val="00130B86"/>
    <w:rsid w:val="00132269"/>
    <w:rsid w:val="00134447"/>
    <w:rsid w:val="001363C8"/>
    <w:rsid w:val="0013785D"/>
    <w:rsid w:val="001439BD"/>
    <w:rsid w:val="00147A54"/>
    <w:rsid w:val="001518BD"/>
    <w:rsid w:val="00155A11"/>
    <w:rsid w:val="00160E09"/>
    <w:rsid w:val="001643E3"/>
    <w:rsid w:val="00170785"/>
    <w:rsid w:val="00170D37"/>
    <w:rsid w:val="001718B4"/>
    <w:rsid w:val="00172379"/>
    <w:rsid w:val="001730F1"/>
    <w:rsid w:val="001754B0"/>
    <w:rsid w:val="00176031"/>
    <w:rsid w:val="001814C6"/>
    <w:rsid w:val="0018200E"/>
    <w:rsid w:val="0018258A"/>
    <w:rsid w:val="00182DB0"/>
    <w:rsid w:val="001875EC"/>
    <w:rsid w:val="00192E0B"/>
    <w:rsid w:val="0019553E"/>
    <w:rsid w:val="0019786C"/>
    <w:rsid w:val="001A1C4A"/>
    <w:rsid w:val="001A701E"/>
    <w:rsid w:val="001B3188"/>
    <w:rsid w:val="001B56C5"/>
    <w:rsid w:val="001C2286"/>
    <w:rsid w:val="001D0BFF"/>
    <w:rsid w:val="001D2D7F"/>
    <w:rsid w:val="001D4046"/>
    <w:rsid w:val="001D4609"/>
    <w:rsid w:val="001D4C9E"/>
    <w:rsid w:val="001D73D2"/>
    <w:rsid w:val="001E5021"/>
    <w:rsid w:val="001F33DA"/>
    <w:rsid w:val="001F5933"/>
    <w:rsid w:val="00200B97"/>
    <w:rsid w:val="0020512E"/>
    <w:rsid w:val="0020613C"/>
    <w:rsid w:val="002069B5"/>
    <w:rsid w:val="0021219E"/>
    <w:rsid w:val="00214257"/>
    <w:rsid w:val="00215F01"/>
    <w:rsid w:val="00221BEC"/>
    <w:rsid w:val="0022370D"/>
    <w:rsid w:val="00225579"/>
    <w:rsid w:val="00225933"/>
    <w:rsid w:val="00243947"/>
    <w:rsid w:val="0024496B"/>
    <w:rsid w:val="00244C33"/>
    <w:rsid w:val="002451D3"/>
    <w:rsid w:val="00252469"/>
    <w:rsid w:val="00255F9D"/>
    <w:rsid w:val="00257013"/>
    <w:rsid w:val="0025799D"/>
    <w:rsid w:val="002616EA"/>
    <w:rsid w:val="00261ECE"/>
    <w:rsid w:val="00262B1F"/>
    <w:rsid w:val="00263699"/>
    <w:rsid w:val="0026496A"/>
    <w:rsid w:val="00265734"/>
    <w:rsid w:val="00266B5B"/>
    <w:rsid w:val="00270198"/>
    <w:rsid w:val="00273F11"/>
    <w:rsid w:val="002741FE"/>
    <w:rsid w:val="00281627"/>
    <w:rsid w:val="00282C65"/>
    <w:rsid w:val="00283946"/>
    <w:rsid w:val="00284A98"/>
    <w:rsid w:val="00285FB5"/>
    <w:rsid w:val="00286A87"/>
    <w:rsid w:val="002906C0"/>
    <w:rsid w:val="0029233B"/>
    <w:rsid w:val="0029268A"/>
    <w:rsid w:val="00292AB8"/>
    <w:rsid w:val="00297E4C"/>
    <w:rsid w:val="002A0927"/>
    <w:rsid w:val="002A5596"/>
    <w:rsid w:val="002A6638"/>
    <w:rsid w:val="002A78DF"/>
    <w:rsid w:val="002A7C2B"/>
    <w:rsid w:val="002B1189"/>
    <w:rsid w:val="002B23C1"/>
    <w:rsid w:val="002B3ADB"/>
    <w:rsid w:val="002B52BC"/>
    <w:rsid w:val="002B6152"/>
    <w:rsid w:val="002B6A7C"/>
    <w:rsid w:val="002C0817"/>
    <w:rsid w:val="002C0CEC"/>
    <w:rsid w:val="002C36F2"/>
    <w:rsid w:val="002C432C"/>
    <w:rsid w:val="002C443B"/>
    <w:rsid w:val="002D1355"/>
    <w:rsid w:val="002D2B1F"/>
    <w:rsid w:val="002E1CF3"/>
    <w:rsid w:val="002E4EAC"/>
    <w:rsid w:val="002E5D61"/>
    <w:rsid w:val="002E7AD5"/>
    <w:rsid w:val="002F2702"/>
    <w:rsid w:val="002F36E8"/>
    <w:rsid w:val="00304E8C"/>
    <w:rsid w:val="00305006"/>
    <w:rsid w:val="003111FB"/>
    <w:rsid w:val="00312540"/>
    <w:rsid w:val="003163B3"/>
    <w:rsid w:val="00322EC5"/>
    <w:rsid w:val="00326AB2"/>
    <w:rsid w:val="00331058"/>
    <w:rsid w:val="00332172"/>
    <w:rsid w:val="0034093A"/>
    <w:rsid w:val="003462C5"/>
    <w:rsid w:val="00346434"/>
    <w:rsid w:val="003473DA"/>
    <w:rsid w:val="0035387C"/>
    <w:rsid w:val="00353A83"/>
    <w:rsid w:val="00354046"/>
    <w:rsid w:val="00354936"/>
    <w:rsid w:val="00364355"/>
    <w:rsid w:val="0036609C"/>
    <w:rsid w:val="003661AC"/>
    <w:rsid w:val="003666F8"/>
    <w:rsid w:val="003711C9"/>
    <w:rsid w:val="00371246"/>
    <w:rsid w:val="00377028"/>
    <w:rsid w:val="00383A89"/>
    <w:rsid w:val="0038739E"/>
    <w:rsid w:val="003922CD"/>
    <w:rsid w:val="003977B9"/>
    <w:rsid w:val="003A118D"/>
    <w:rsid w:val="003A6BC9"/>
    <w:rsid w:val="003B0FFD"/>
    <w:rsid w:val="003B1D9E"/>
    <w:rsid w:val="003B3DDE"/>
    <w:rsid w:val="003B5784"/>
    <w:rsid w:val="003B66DD"/>
    <w:rsid w:val="003C0E02"/>
    <w:rsid w:val="003C182D"/>
    <w:rsid w:val="003C18D6"/>
    <w:rsid w:val="003C1DD3"/>
    <w:rsid w:val="003C3187"/>
    <w:rsid w:val="003C4425"/>
    <w:rsid w:val="003C4CD1"/>
    <w:rsid w:val="003D0B31"/>
    <w:rsid w:val="003D37E9"/>
    <w:rsid w:val="003D4380"/>
    <w:rsid w:val="003D494C"/>
    <w:rsid w:val="003E0CD2"/>
    <w:rsid w:val="003E10E9"/>
    <w:rsid w:val="003E3AB3"/>
    <w:rsid w:val="003E4AFB"/>
    <w:rsid w:val="003E7691"/>
    <w:rsid w:val="003F0F78"/>
    <w:rsid w:val="003F7D35"/>
    <w:rsid w:val="004073F7"/>
    <w:rsid w:val="00407ADF"/>
    <w:rsid w:val="0041001B"/>
    <w:rsid w:val="004100D0"/>
    <w:rsid w:val="00411BA0"/>
    <w:rsid w:val="004132B7"/>
    <w:rsid w:val="0041373A"/>
    <w:rsid w:val="00413C90"/>
    <w:rsid w:val="00420983"/>
    <w:rsid w:val="00421478"/>
    <w:rsid w:val="00421EB4"/>
    <w:rsid w:val="00422ABB"/>
    <w:rsid w:val="0042327E"/>
    <w:rsid w:val="00424FEB"/>
    <w:rsid w:val="0042569B"/>
    <w:rsid w:val="0042596E"/>
    <w:rsid w:val="00426168"/>
    <w:rsid w:val="00431673"/>
    <w:rsid w:val="00432F29"/>
    <w:rsid w:val="00434D76"/>
    <w:rsid w:val="00437A2F"/>
    <w:rsid w:val="00437EA0"/>
    <w:rsid w:val="004448EA"/>
    <w:rsid w:val="00444D42"/>
    <w:rsid w:val="0044679C"/>
    <w:rsid w:val="00447A86"/>
    <w:rsid w:val="00447A87"/>
    <w:rsid w:val="00447ECF"/>
    <w:rsid w:val="00450741"/>
    <w:rsid w:val="00452180"/>
    <w:rsid w:val="00452C37"/>
    <w:rsid w:val="00457909"/>
    <w:rsid w:val="004610F6"/>
    <w:rsid w:val="004623F9"/>
    <w:rsid w:val="004629B8"/>
    <w:rsid w:val="00462D45"/>
    <w:rsid w:val="00463DA2"/>
    <w:rsid w:val="00465EF5"/>
    <w:rsid w:val="00466101"/>
    <w:rsid w:val="004705B7"/>
    <w:rsid w:val="00471CD2"/>
    <w:rsid w:val="004720DB"/>
    <w:rsid w:val="004731E0"/>
    <w:rsid w:val="00473B4D"/>
    <w:rsid w:val="00477068"/>
    <w:rsid w:val="00477FE6"/>
    <w:rsid w:val="00481763"/>
    <w:rsid w:val="00484D4F"/>
    <w:rsid w:val="00487DD0"/>
    <w:rsid w:val="0049071D"/>
    <w:rsid w:val="00492BB2"/>
    <w:rsid w:val="00495974"/>
    <w:rsid w:val="004A0BE8"/>
    <w:rsid w:val="004A142B"/>
    <w:rsid w:val="004A2085"/>
    <w:rsid w:val="004A29F5"/>
    <w:rsid w:val="004A665B"/>
    <w:rsid w:val="004B00A1"/>
    <w:rsid w:val="004B016F"/>
    <w:rsid w:val="004B0BF5"/>
    <w:rsid w:val="004B3603"/>
    <w:rsid w:val="004B46D4"/>
    <w:rsid w:val="004B6219"/>
    <w:rsid w:val="004C0969"/>
    <w:rsid w:val="004C265C"/>
    <w:rsid w:val="004C48C7"/>
    <w:rsid w:val="004C4A02"/>
    <w:rsid w:val="004D0D72"/>
    <w:rsid w:val="004D1E68"/>
    <w:rsid w:val="004D2F82"/>
    <w:rsid w:val="004D3645"/>
    <w:rsid w:val="004D496E"/>
    <w:rsid w:val="004D6BE3"/>
    <w:rsid w:val="004E0A20"/>
    <w:rsid w:val="004E24DA"/>
    <w:rsid w:val="004E615B"/>
    <w:rsid w:val="004F005B"/>
    <w:rsid w:val="004F0A11"/>
    <w:rsid w:val="004F25FE"/>
    <w:rsid w:val="004F2DD4"/>
    <w:rsid w:val="004F53FF"/>
    <w:rsid w:val="004F5D88"/>
    <w:rsid w:val="004F7B50"/>
    <w:rsid w:val="00503F0F"/>
    <w:rsid w:val="00507009"/>
    <w:rsid w:val="005109C4"/>
    <w:rsid w:val="00510F42"/>
    <w:rsid w:val="00512AD1"/>
    <w:rsid w:val="0051514B"/>
    <w:rsid w:val="0052052B"/>
    <w:rsid w:val="005205CF"/>
    <w:rsid w:val="00520B7C"/>
    <w:rsid w:val="00521D81"/>
    <w:rsid w:val="00524933"/>
    <w:rsid w:val="005301C4"/>
    <w:rsid w:val="00534094"/>
    <w:rsid w:val="00536026"/>
    <w:rsid w:val="00537DFE"/>
    <w:rsid w:val="00546606"/>
    <w:rsid w:val="00547D3A"/>
    <w:rsid w:val="00551934"/>
    <w:rsid w:val="00554D35"/>
    <w:rsid w:val="00557FD1"/>
    <w:rsid w:val="00560A10"/>
    <w:rsid w:val="005626FD"/>
    <w:rsid w:val="00562C0D"/>
    <w:rsid w:val="00563B82"/>
    <w:rsid w:val="00563F9D"/>
    <w:rsid w:val="00566543"/>
    <w:rsid w:val="005744C8"/>
    <w:rsid w:val="00580E8E"/>
    <w:rsid w:val="00585A99"/>
    <w:rsid w:val="005874E2"/>
    <w:rsid w:val="00590BD0"/>
    <w:rsid w:val="0059149E"/>
    <w:rsid w:val="00596918"/>
    <w:rsid w:val="005A3AEF"/>
    <w:rsid w:val="005A3B18"/>
    <w:rsid w:val="005A3ED5"/>
    <w:rsid w:val="005A4A22"/>
    <w:rsid w:val="005A4C3A"/>
    <w:rsid w:val="005A6689"/>
    <w:rsid w:val="005B2521"/>
    <w:rsid w:val="005B38BC"/>
    <w:rsid w:val="005C3571"/>
    <w:rsid w:val="005C4D6E"/>
    <w:rsid w:val="005C625D"/>
    <w:rsid w:val="005C6D91"/>
    <w:rsid w:val="005C7A18"/>
    <w:rsid w:val="005D44C6"/>
    <w:rsid w:val="005D48BC"/>
    <w:rsid w:val="005D60D6"/>
    <w:rsid w:val="005E0DCC"/>
    <w:rsid w:val="005E6AFC"/>
    <w:rsid w:val="005F018B"/>
    <w:rsid w:val="005F0302"/>
    <w:rsid w:val="005F6BF7"/>
    <w:rsid w:val="005F71DC"/>
    <w:rsid w:val="00601329"/>
    <w:rsid w:val="00601751"/>
    <w:rsid w:val="00605528"/>
    <w:rsid w:val="00606318"/>
    <w:rsid w:val="00606B60"/>
    <w:rsid w:val="00610FCC"/>
    <w:rsid w:val="00612E50"/>
    <w:rsid w:val="006151E3"/>
    <w:rsid w:val="006158F2"/>
    <w:rsid w:val="00624D71"/>
    <w:rsid w:val="006261DF"/>
    <w:rsid w:val="0063039F"/>
    <w:rsid w:val="0063079D"/>
    <w:rsid w:val="00630E7B"/>
    <w:rsid w:val="0063504F"/>
    <w:rsid w:val="00636142"/>
    <w:rsid w:val="00641EC6"/>
    <w:rsid w:val="00644402"/>
    <w:rsid w:val="00645657"/>
    <w:rsid w:val="00646294"/>
    <w:rsid w:val="006515B6"/>
    <w:rsid w:val="00652ADB"/>
    <w:rsid w:val="00654AF7"/>
    <w:rsid w:val="00655F3B"/>
    <w:rsid w:val="006572C7"/>
    <w:rsid w:val="00661575"/>
    <w:rsid w:val="00667469"/>
    <w:rsid w:val="0067132D"/>
    <w:rsid w:val="00673BDE"/>
    <w:rsid w:val="00675604"/>
    <w:rsid w:val="0067617A"/>
    <w:rsid w:val="00681981"/>
    <w:rsid w:val="00684695"/>
    <w:rsid w:val="006852A2"/>
    <w:rsid w:val="00685FCA"/>
    <w:rsid w:val="00686044"/>
    <w:rsid w:val="00690248"/>
    <w:rsid w:val="00695025"/>
    <w:rsid w:val="00695C67"/>
    <w:rsid w:val="00696EF1"/>
    <w:rsid w:val="00697D4E"/>
    <w:rsid w:val="006A12F5"/>
    <w:rsid w:val="006A33C9"/>
    <w:rsid w:val="006A55D3"/>
    <w:rsid w:val="006A5927"/>
    <w:rsid w:val="006A7029"/>
    <w:rsid w:val="006B0B2F"/>
    <w:rsid w:val="006B2EAF"/>
    <w:rsid w:val="006B59F4"/>
    <w:rsid w:val="006C1A5F"/>
    <w:rsid w:val="006C2E38"/>
    <w:rsid w:val="006C730B"/>
    <w:rsid w:val="006D05FB"/>
    <w:rsid w:val="006D1901"/>
    <w:rsid w:val="006D4241"/>
    <w:rsid w:val="006D600D"/>
    <w:rsid w:val="006E1B14"/>
    <w:rsid w:val="006E272D"/>
    <w:rsid w:val="006E40F1"/>
    <w:rsid w:val="006F1343"/>
    <w:rsid w:val="006F2063"/>
    <w:rsid w:val="006F4636"/>
    <w:rsid w:val="006F4D01"/>
    <w:rsid w:val="006F7E4D"/>
    <w:rsid w:val="00701F59"/>
    <w:rsid w:val="00703357"/>
    <w:rsid w:val="00710F21"/>
    <w:rsid w:val="00711E60"/>
    <w:rsid w:val="007122F4"/>
    <w:rsid w:val="00713E0A"/>
    <w:rsid w:val="007165A9"/>
    <w:rsid w:val="007230BD"/>
    <w:rsid w:val="007231E7"/>
    <w:rsid w:val="0072410E"/>
    <w:rsid w:val="00736112"/>
    <w:rsid w:val="00740390"/>
    <w:rsid w:val="0074062C"/>
    <w:rsid w:val="00742E37"/>
    <w:rsid w:val="007432EB"/>
    <w:rsid w:val="0074498C"/>
    <w:rsid w:val="00746A68"/>
    <w:rsid w:val="007506C8"/>
    <w:rsid w:val="00752621"/>
    <w:rsid w:val="007530F5"/>
    <w:rsid w:val="0075364F"/>
    <w:rsid w:val="00753D78"/>
    <w:rsid w:val="007544BB"/>
    <w:rsid w:val="00754C3A"/>
    <w:rsid w:val="00754F68"/>
    <w:rsid w:val="00756B3E"/>
    <w:rsid w:val="00763468"/>
    <w:rsid w:val="007666D8"/>
    <w:rsid w:val="0076701F"/>
    <w:rsid w:val="0077128F"/>
    <w:rsid w:val="007714CB"/>
    <w:rsid w:val="007807E3"/>
    <w:rsid w:val="00780FAF"/>
    <w:rsid w:val="00781288"/>
    <w:rsid w:val="007867F6"/>
    <w:rsid w:val="0078786F"/>
    <w:rsid w:val="0079563F"/>
    <w:rsid w:val="00795EFE"/>
    <w:rsid w:val="0079745B"/>
    <w:rsid w:val="00797FC1"/>
    <w:rsid w:val="007A2199"/>
    <w:rsid w:val="007A3238"/>
    <w:rsid w:val="007A47E4"/>
    <w:rsid w:val="007A5233"/>
    <w:rsid w:val="007A5E0E"/>
    <w:rsid w:val="007B38BC"/>
    <w:rsid w:val="007B4AFE"/>
    <w:rsid w:val="007B51DF"/>
    <w:rsid w:val="007B5883"/>
    <w:rsid w:val="007C12D2"/>
    <w:rsid w:val="007C15B8"/>
    <w:rsid w:val="007C34D5"/>
    <w:rsid w:val="007C3640"/>
    <w:rsid w:val="007C6D7F"/>
    <w:rsid w:val="007D3C64"/>
    <w:rsid w:val="007D484A"/>
    <w:rsid w:val="007D7BC6"/>
    <w:rsid w:val="007E0C0A"/>
    <w:rsid w:val="007E1D74"/>
    <w:rsid w:val="007E2803"/>
    <w:rsid w:val="007E2B9A"/>
    <w:rsid w:val="007E5E2B"/>
    <w:rsid w:val="007E5E47"/>
    <w:rsid w:val="007E780D"/>
    <w:rsid w:val="007F067B"/>
    <w:rsid w:val="007F08B5"/>
    <w:rsid w:val="007F1760"/>
    <w:rsid w:val="007F5C76"/>
    <w:rsid w:val="007F65E3"/>
    <w:rsid w:val="00802406"/>
    <w:rsid w:val="00814530"/>
    <w:rsid w:val="00815EF8"/>
    <w:rsid w:val="008241EF"/>
    <w:rsid w:val="00825C40"/>
    <w:rsid w:val="00825F77"/>
    <w:rsid w:val="00826A5F"/>
    <w:rsid w:val="00833912"/>
    <w:rsid w:val="00843591"/>
    <w:rsid w:val="008444D5"/>
    <w:rsid w:val="00845ED7"/>
    <w:rsid w:val="00846598"/>
    <w:rsid w:val="00846D76"/>
    <w:rsid w:val="00851355"/>
    <w:rsid w:val="00852C88"/>
    <w:rsid w:val="00860479"/>
    <w:rsid w:val="008609D7"/>
    <w:rsid w:val="00863AE4"/>
    <w:rsid w:val="00865A8B"/>
    <w:rsid w:val="00867AEC"/>
    <w:rsid w:val="00875186"/>
    <w:rsid w:val="00876913"/>
    <w:rsid w:val="00882350"/>
    <w:rsid w:val="00886B50"/>
    <w:rsid w:val="008871C6"/>
    <w:rsid w:val="008900AC"/>
    <w:rsid w:val="0089246A"/>
    <w:rsid w:val="0089302C"/>
    <w:rsid w:val="00895787"/>
    <w:rsid w:val="008A0919"/>
    <w:rsid w:val="008A4E2A"/>
    <w:rsid w:val="008B1249"/>
    <w:rsid w:val="008B1C80"/>
    <w:rsid w:val="008B25A9"/>
    <w:rsid w:val="008B2F13"/>
    <w:rsid w:val="008B500C"/>
    <w:rsid w:val="008B6AE9"/>
    <w:rsid w:val="008C2B2A"/>
    <w:rsid w:val="008C4F89"/>
    <w:rsid w:val="008C514F"/>
    <w:rsid w:val="008C56A5"/>
    <w:rsid w:val="008D5578"/>
    <w:rsid w:val="008D64B7"/>
    <w:rsid w:val="008D7089"/>
    <w:rsid w:val="008E440A"/>
    <w:rsid w:val="008E50EA"/>
    <w:rsid w:val="008F2A14"/>
    <w:rsid w:val="008F7B35"/>
    <w:rsid w:val="00903CE0"/>
    <w:rsid w:val="00903D26"/>
    <w:rsid w:val="00911F3B"/>
    <w:rsid w:val="00917B07"/>
    <w:rsid w:val="0092013A"/>
    <w:rsid w:val="00923DA8"/>
    <w:rsid w:val="00931347"/>
    <w:rsid w:val="0093235E"/>
    <w:rsid w:val="009342B5"/>
    <w:rsid w:val="00935B5B"/>
    <w:rsid w:val="009428B6"/>
    <w:rsid w:val="00950766"/>
    <w:rsid w:val="00951BD5"/>
    <w:rsid w:val="00952F0C"/>
    <w:rsid w:val="0095400E"/>
    <w:rsid w:val="00954A3B"/>
    <w:rsid w:val="00955D0B"/>
    <w:rsid w:val="00961C40"/>
    <w:rsid w:val="00964188"/>
    <w:rsid w:val="009646D1"/>
    <w:rsid w:val="009652CB"/>
    <w:rsid w:val="0096547C"/>
    <w:rsid w:val="00970773"/>
    <w:rsid w:val="00974FC2"/>
    <w:rsid w:val="0097762F"/>
    <w:rsid w:val="00980F79"/>
    <w:rsid w:val="00982990"/>
    <w:rsid w:val="00986BAA"/>
    <w:rsid w:val="009876A3"/>
    <w:rsid w:val="00990B8C"/>
    <w:rsid w:val="00990EE4"/>
    <w:rsid w:val="0099385D"/>
    <w:rsid w:val="009A006E"/>
    <w:rsid w:val="009A475A"/>
    <w:rsid w:val="009A4847"/>
    <w:rsid w:val="009A52C5"/>
    <w:rsid w:val="009A7C70"/>
    <w:rsid w:val="009A7FC0"/>
    <w:rsid w:val="009B3BD3"/>
    <w:rsid w:val="009B51F8"/>
    <w:rsid w:val="009C5DB2"/>
    <w:rsid w:val="009D6D2B"/>
    <w:rsid w:val="009E0598"/>
    <w:rsid w:val="009E0B6F"/>
    <w:rsid w:val="009E1445"/>
    <w:rsid w:val="009E18FB"/>
    <w:rsid w:val="009E379A"/>
    <w:rsid w:val="009E762E"/>
    <w:rsid w:val="009F1221"/>
    <w:rsid w:val="009F163C"/>
    <w:rsid w:val="009F43D4"/>
    <w:rsid w:val="00A00128"/>
    <w:rsid w:val="00A03AC6"/>
    <w:rsid w:val="00A064BF"/>
    <w:rsid w:val="00A074DE"/>
    <w:rsid w:val="00A10B0F"/>
    <w:rsid w:val="00A13D3E"/>
    <w:rsid w:val="00A158A4"/>
    <w:rsid w:val="00A17DAF"/>
    <w:rsid w:val="00A22323"/>
    <w:rsid w:val="00A23558"/>
    <w:rsid w:val="00A26DEB"/>
    <w:rsid w:val="00A277F4"/>
    <w:rsid w:val="00A31D00"/>
    <w:rsid w:val="00A34AD5"/>
    <w:rsid w:val="00A37BCF"/>
    <w:rsid w:val="00A41D8E"/>
    <w:rsid w:val="00A44D8E"/>
    <w:rsid w:val="00A4773E"/>
    <w:rsid w:val="00A600DC"/>
    <w:rsid w:val="00A73999"/>
    <w:rsid w:val="00A741CB"/>
    <w:rsid w:val="00A74DA2"/>
    <w:rsid w:val="00A77CB1"/>
    <w:rsid w:val="00A807A4"/>
    <w:rsid w:val="00A83529"/>
    <w:rsid w:val="00A837DA"/>
    <w:rsid w:val="00A83972"/>
    <w:rsid w:val="00A83FD1"/>
    <w:rsid w:val="00A84BFE"/>
    <w:rsid w:val="00A866E0"/>
    <w:rsid w:val="00A92ED5"/>
    <w:rsid w:val="00AA143A"/>
    <w:rsid w:val="00AA5A70"/>
    <w:rsid w:val="00AA665F"/>
    <w:rsid w:val="00AA6A6E"/>
    <w:rsid w:val="00AA6F77"/>
    <w:rsid w:val="00AA7B6F"/>
    <w:rsid w:val="00AB08F7"/>
    <w:rsid w:val="00AB1590"/>
    <w:rsid w:val="00AB2EEF"/>
    <w:rsid w:val="00AB3FEC"/>
    <w:rsid w:val="00AB4D79"/>
    <w:rsid w:val="00AC26CF"/>
    <w:rsid w:val="00AC5CF3"/>
    <w:rsid w:val="00AD13B3"/>
    <w:rsid w:val="00AD2330"/>
    <w:rsid w:val="00AD575C"/>
    <w:rsid w:val="00AD5BD9"/>
    <w:rsid w:val="00AD7555"/>
    <w:rsid w:val="00AD78A2"/>
    <w:rsid w:val="00AE4D95"/>
    <w:rsid w:val="00AF521A"/>
    <w:rsid w:val="00AF60A9"/>
    <w:rsid w:val="00B0234F"/>
    <w:rsid w:val="00B07E2F"/>
    <w:rsid w:val="00B11632"/>
    <w:rsid w:val="00B12A93"/>
    <w:rsid w:val="00B13882"/>
    <w:rsid w:val="00B14F3A"/>
    <w:rsid w:val="00B15BA4"/>
    <w:rsid w:val="00B201B8"/>
    <w:rsid w:val="00B2406A"/>
    <w:rsid w:val="00B25FBA"/>
    <w:rsid w:val="00B27157"/>
    <w:rsid w:val="00B27209"/>
    <w:rsid w:val="00B311F0"/>
    <w:rsid w:val="00B3536E"/>
    <w:rsid w:val="00B376AC"/>
    <w:rsid w:val="00B40850"/>
    <w:rsid w:val="00B4141D"/>
    <w:rsid w:val="00B41B4E"/>
    <w:rsid w:val="00B431B7"/>
    <w:rsid w:val="00B44021"/>
    <w:rsid w:val="00B44E21"/>
    <w:rsid w:val="00B46981"/>
    <w:rsid w:val="00B47A2A"/>
    <w:rsid w:val="00B50F2D"/>
    <w:rsid w:val="00B52DEA"/>
    <w:rsid w:val="00B53342"/>
    <w:rsid w:val="00B55679"/>
    <w:rsid w:val="00B55A9B"/>
    <w:rsid w:val="00B56A0E"/>
    <w:rsid w:val="00B56F1E"/>
    <w:rsid w:val="00B60EB5"/>
    <w:rsid w:val="00B6532D"/>
    <w:rsid w:val="00B72699"/>
    <w:rsid w:val="00B72E8E"/>
    <w:rsid w:val="00B73EF3"/>
    <w:rsid w:val="00B75FC1"/>
    <w:rsid w:val="00B76078"/>
    <w:rsid w:val="00B77671"/>
    <w:rsid w:val="00B80FCE"/>
    <w:rsid w:val="00B810A7"/>
    <w:rsid w:val="00B820BD"/>
    <w:rsid w:val="00B83394"/>
    <w:rsid w:val="00B8348F"/>
    <w:rsid w:val="00B835A2"/>
    <w:rsid w:val="00B84B57"/>
    <w:rsid w:val="00B85300"/>
    <w:rsid w:val="00B870C7"/>
    <w:rsid w:val="00B95449"/>
    <w:rsid w:val="00B96F99"/>
    <w:rsid w:val="00BA0E36"/>
    <w:rsid w:val="00BA2C5B"/>
    <w:rsid w:val="00BA5EAD"/>
    <w:rsid w:val="00BA7129"/>
    <w:rsid w:val="00BB0200"/>
    <w:rsid w:val="00BB136C"/>
    <w:rsid w:val="00BB315E"/>
    <w:rsid w:val="00BB6247"/>
    <w:rsid w:val="00BB7C15"/>
    <w:rsid w:val="00BC7248"/>
    <w:rsid w:val="00BD0D48"/>
    <w:rsid w:val="00BD0EE3"/>
    <w:rsid w:val="00BD5047"/>
    <w:rsid w:val="00BD5774"/>
    <w:rsid w:val="00BD5815"/>
    <w:rsid w:val="00BD6D05"/>
    <w:rsid w:val="00BD7712"/>
    <w:rsid w:val="00BD7CF8"/>
    <w:rsid w:val="00BE5D4E"/>
    <w:rsid w:val="00BF1111"/>
    <w:rsid w:val="00BF2D0D"/>
    <w:rsid w:val="00BF48EC"/>
    <w:rsid w:val="00BF69F3"/>
    <w:rsid w:val="00BF6A52"/>
    <w:rsid w:val="00C01B2C"/>
    <w:rsid w:val="00C03CB1"/>
    <w:rsid w:val="00C10CBC"/>
    <w:rsid w:val="00C111C9"/>
    <w:rsid w:val="00C15370"/>
    <w:rsid w:val="00C167CE"/>
    <w:rsid w:val="00C251BB"/>
    <w:rsid w:val="00C2730F"/>
    <w:rsid w:val="00C302BF"/>
    <w:rsid w:val="00C31865"/>
    <w:rsid w:val="00C31FAD"/>
    <w:rsid w:val="00C330B1"/>
    <w:rsid w:val="00C3615F"/>
    <w:rsid w:val="00C37894"/>
    <w:rsid w:val="00C3799D"/>
    <w:rsid w:val="00C46F6D"/>
    <w:rsid w:val="00C55E18"/>
    <w:rsid w:val="00C62B37"/>
    <w:rsid w:val="00C631E2"/>
    <w:rsid w:val="00C72B68"/>
    <w:rsid w:val="00C800CB"/>
    <w:rsid w:val="00C87511"/>
    <w:rsid w:val="00C90077"/>
    <w:rsid w:val="00C90F80"/>
    <w:rsid w:val="00C94790"/>
    <w:rsid w:val="00C94889"/>
    <w:rsid w:val="00C97E1C"/>
    <w:rsid w:val="00CA2057"/>
    <w:rsid w:val="00CA5605"/>
    <w:rsid w:val="00CA7056"/>
    <w:rsid w:val="00CB0C0E"/>
    <w:rsid w:val="00CB1180"/>
    <w:rsid w:val="00CB4F0B"/>
    <w:rsid w:val="00CB73AA"/>
    <w:rsid w:val="00CC2DD8"/>
    <w:rsid w:val="00CC4A32"/>
    <w:rsid w:val="00CC5C4C"/>
    <w:rsid w:val="00CC5F58"/>
    <w:rsid w:val="00CC7688"/>
    <w:rsid w:val="00CD3196"/>
    <w:rsid w:val="00CD35C3"/>
    <w:rsid w:val="00CD5155"/>
    <w:rsid w:val="00CD779C"/>
    <w:rsid w:val="00CD7C55"/>
    <w:rsid w:val="00CE442D"/>
    <w:rsid w:val="00CF55E7"/>
    <w:rsid w:val="00CF6619"/>
    <w:rsid w:val="00CF792E"/>
    <w:rsid w:val="00D003D0"/>
    <w:rsid w:val="00D028F6"/>
    <w:rsid w:val="00D04BB7"/>
    <w:rsid w:val="00D0548D"/>
    <w:rsid w:val="00D11273"/>
    <w:rsid w:val="00D12971"/>
    <w:rsid w:val="00D15CA2"/>
    <w:rsid w:val="00D221E5"/>
    <w:rsid w:val="00D234B0"/>
    <w:rsid w:val="00D27DC5"/>
    <w:rsid w:val="00D3605B"/>
    <w:rsid w:val="00D3634B"/>
    <w:rsid w:val="00D40526"/>
    <w:rsid w:val="00D420BE"/>
    <w:rsid w:val="00D4309D"/>
    <w:rsid w:val="00D45545"/>
    <w:rsid w:val="00D46A56"/>
    <w:rsid w:val="00D50A41"/>
    <w:rsid w:val="00D50B0A"/>
    <w:rsid w:val="00D50C0B"/>
    <w:rsid w:val="00D5138A"/>
    <w:rsid w:val="00D518C7"/>
    <w:rsid w:val="00D51C5E"/>
    <w:rsid w:val="00D530AF"/>
    <w:rsid w:val="00D5366B"/>
    <w:rsid w:val="00D61344"/>
    <w:rsid w:val="00D628BB"/>
    <w:rsid w:val="00D63DE5"/>
    <w:rsid w:val="00D6437D"/>
    <w:rsid w:val="00D656E2"/>
    <w:rsid w:val="00D66A6B"/>
    <w:rsid w:val="00D70781"/>
    <w:rsid w:val="00D72015"/>
    <w:rsid w:val="00D7608A"/>
    <w:rsid w:val="00D76483"/>
    <w:rsid w:val="00D80C82"/>
    <w:rsid w:val="00D80D14"/>
    <w:rsid w:val="00D82EA2"/>
    <w:rsid w:val="00D84248"/>
    <w:rsid w:val="00D8484D"/>
    <w:rsid w:val="00D85D97"/>
    <w:rsid w:val="00D864B6"/>
    <w:rsid w:val="00D92D09"/>
    <w:rsid w:val="00DA1E6E"/>
    <w:rsid w:val="00DA26F5"/>
    <w:rsid w:val="00DA3083"/>
    <w:rsid w:val="00DA3FC3"/>
    <w:rsid w:val="00DA45ED"/>
    <w:rsid w:val="00DA5C55"/>
    <w:rsid w:val="00DA5D0F"/>
    <w:rsid w:val="00DA7284"/>
    <w:rsid w:val="00DA7585"/>
    <w:rsid w:val="00DB2409"/>
    <w:rsid w:val="00DB5B73"/>
    <w:rsid w:val="00DB762E"/>
    <w:rsid w:val="00DC0991"/>
    <w:rsid w:val="00DC1B60"/>
    <w:rsid w:val="00DC5356"/>
    <w:rsid w:val="00DC59B4"/>
    <w:rsid w:val="00DC7645"/>
    <w:rsid w:val="00DD0467"/>
    <w:rsid w:val="00DD091F"/>
    <w:rsid w:val="00DD3879"/>
    <w:rsid w:val="00DD398E"/>
    <w:rsid w:val="00DE1DE6"/>
    <w:rsid w:val="00DE4170"/>
    <w:rsid w:val="00DE792A"/>
    <w:rsid w:val="00DF2BA1"/>
    <w:rsid w:val="00DF4786"/>
    <w:rsid w:val="00DF50F5"/>
    <w:rsid w:val="00DF57A4"/>
    <w:rsid w:val="00DF5E3B"/>
    <w:rsid w:val="00E01808"/>
    <w:rsid w:val="00E01D30"/>
    <w:rsid w:val="00E01F3A"/>
    <w:rsid w:val="00E063EE"/>
    <w:rsid w:val="00E06481"/>
    <w:rsid w:val="00E064C9"/>
    <w:rsid w:val="00E1073F"/>
    <w:rsid w:val="00E13C69"/>
    <w:rsid w:val="00E15443"/>
    <w:rsid w:val="00E20046"/>
    <w:rsid w:val="00E21B84"/>
    <w:rsid w:val="00E249DC"/>
    <w:rsid w:val="00E250E1"/>
    <w:rsid w:val="00E31E4B"/>
    <w:rsid w:val="00E37DD7"/>
    <w:rsid w:val="00E40631"/>
    <w:rsid w:val="00E44199"/>
    <w:rsid w:val="00E4485B"/>
    <w:rsid w:val="00E44B25"/>
    <w:rsid w:val="00E472C9"/>
    <w:rsid w:val="00E51A6F"/>
    <w:rsid w:val="00E52F3D"/>
    <w:rsid w:val="00E55451"/>
    <w:rsid w:val="00E55B68"/>
    <w:rsid w:val="00E57175"/>
    <w:rsid w:val="00E57A79"/>
    <w:rsid w:val="00E65389"/>
    <w:rsid w:val="00E669D6"/>
    <w:rsid w:val="00E67C99"/>
    <w:rsid w:val="00E75AAB"/>
    <w:rsid w:val="00E76036"/>
    <w:rsid w:val="00E767AD"/>
    <w:rsid w:val="00E822AD"/>
    <w:rsid w:val="00E92339"/>
    <w:rsid w:val="00E938CA"/>
    <w:rsid w:val="00E954CE"/>
    <w:rsid w:val="00E96E68"/>
    <w:rsid w:val="00EA0014"/>
    <w:rsid w:val="00EA49FB"/>
    <w:rsid w:val="00EA54BA"/>
    <w:rsid w:val="00EB0612"/>
    <w:rsid w:val="00EB074F"/>
    <w:rsid w:val="00EB6B59"/>
    <w:rsid w:val="00EB7682"/>
    <w:rsid w:val="00EC1F75"/>
    <w:rsid w:val="00EC3AFA"/>
    <w:rsid w:val="00EC401F"/>
    <w:rsid w:val="00EC5183"/>
    <w:rsid w:val="00EC75AE"/>
    <w:rsid w:val="00ED0D0E"/>
    <w:rsid w:val="00ED4A30"/>
    <w:rsid w:val="00EE225B"/>
    <w:rsid w:val="00EE4391"/>
    <w:rsid w:val="00EE46F9"/>
    <w:rsid w:val="00EF1684"/>
    <w:rsid w:val="00EF1BB4"/>
    <w:rsid w:val="00EF1F57"/>
    <w:rsid w:val="00EF6E8E"/>
    <w:rsid w:val="00F00E4F"/>
    <w:rsid w:val="00F01632"/>
    <w:rsid w:val="00F04184"/>
    <w:rsid w:val="00F101CD"/>
    <w:rsid w:val="00F14007"/>
    <w:rsid w:val="00F15C82"/>
    <w:rsid w:val="00F21891"/>
    <w:rsid w:val="00F21C49"/>
    <w:rsid w:val="00F2788B"/>
    <w:rsid w:val="00F27DBA"/>
    <w:rsid w:val="00F332D7"/>
    <w:rsid w:val="00F339B1"/>
    <w:rsid w:val="00F34D83"/>
    <w:rsid w:val="00F35C87"/>
    <w:rsid w:val="00F40AAE"/>
    <w:rsid w:val="00F41783"/>
    <w:rsid w:val="00F43341"/>
    <w:rsid w:val="00F44559"/>
    <w:rsid w:val="00F4651F"/>
    <w:rsid w:val="00F510F0"/>
    <w:rsid w:val="00F52A82"/>
    <w:rsid w:val="00F5330A"/>
    <w:rsid w:val="00F543C1"/>
    <w:rsid w:val="00F54DFD"/>
    <w:rsid w:val="00F5571A"/>
    <w:rsid w:val="00F55B38"/>
    <w:rsid w:val="00F6144B"/>
    <w:rsid w:val="00F61FA0"/>
    <w:rsid w:val="00F65D10"/>
    <w:rsid w:val="00F6605E"/>
    <w:rsid w:val="00F70FF6"/>
    <w:rsid w:val="00F72A5D"/>
    <w:rsid w:val="00F769DD"/>
    <w:rsid w:val="00F77212"/>
    <w:rsid w:val="00F7745B"/>
    <w:rsid w:val="00F813D4"/>
    <w:rsid w:val="00F8166C"/>
    <w:rsid w:val="00F8210D"/>
    <w:rsid w:val="00F876CC"/>
    <w:rsid w:val="00F87FBC"/>
    <w:rsid w:val="00F90595"/>
    <w:rsid w:val="00F90843"/>
    <w:rsid w:val="00F96B2E"/>
    <w:rsid w:val="00FA339F"/>
    <w:rsid w:val="00FA3C92"/>
    <w:rsid w:val="00FA557D"/>
    <w:rsid w:val="00FA57C9"/>
    <w:rsid w:val="00FA5ED2"/>
    <w:rsid w:val="00FA624B"/>
    <w:rsid w:val="00FB0566"/>
    <w:rsid w:val="00FB144D"/>
    <w:rsid w:val="00FB5DB6"/>
    <w:rsid w:val="00FB6DC5"/>
    <w:rsid w:val="00FB6F28"/>
    <w:rsid w:val="00FC2EA2"/>
    <w:rsid w:val="00FC5000"/>
    <w:rsid w:val="00FD084C"/>
    <w:rsid w:val="00FD0A49"/>
    <w:rsid w:val="00FD12EE"/>
    <w:rsid w:val="00FD1DC3"/>
    <w:rsid w:val="00FD3445"/>
    <w:rsid w:val="00FD4079"/>
    <w:rsid w:val="00FD6F74"/>
    <w:rsid w:val="00FD7B67"/>
    <w:rsid w:val="00FD7C3C"/>
    <w:rsid w:val="00FE249E"/>
    <w:rsid w:val="00FE3B09"/>
    <w:rsid w:val="00FE6DD2"/>
    <w:rsid w:val="00FE7307"/>
    <w:rsid w:val="00FF0704"/>
    <w:rsid w:val="00FF57BD"/>
    <w:rsid w:val="00FF6AE6"/>
    <w:rsid w:val="00FF76E5"/>
    <w:rsid w:val="012966AC"/>
    <w:rsid w:val="012C279A"/>
    <w:rsid w:val="01422AD9"/>
    <w:rsid w:val="014B4E5E"/>
    <w:rsid w:val="014E16A1"/>
    <w:rsid w:val="0162443F"/>
    <w:rsid w:val="01681A2B"/>
    <w:rsid w:val="01687854"/>
    <w:rsid w:val="017610A9"/>
    <w:rsid w:val="01B95A39"/>
    <w:rsid w:val="01D56E49"/>
    <w:rsid w:val="01EE4532"/>
    <w:rsid w:val="01FE7676"/>
    <w:rsid w:val="02236BA8"/>
    <w:rsid w:val="023A7B81"/>
    <w:rsid w:val="023C151D"/>
    <w:rsid w:val="02445F18"/>
    <w:rsid w:val="02475DDB"/>
    <w:rsid w:val="029148DB"/>
    <w:rsid w:val="02B22CC6"/>
    <w:rsid w:val="02B272C6"/>
    <w:rsid w:val="02B474D0"/>
    <w:rsid w:val="02CC0430"/>
    <w:rsid w:val="02D52D05"/>
    <w:rsid w:val="03160EB5"/>
    <w:rsid w:val="03325CF6"/>
    <w:rsid w:val="03573A7B"/>
    <w:rsid w:val="03AD185A"/>
    <w:rsid w:val="03B80E9F"/>
    <w:rsid w:val="03CC692F"/>
    <w:rsid w:val="03EA3B3E"/>
    <w:rsid w:val="040308E5"/>
    <w:rsid w:val="04112C9C"/>
    <w:rsid w:val="04422DFD"/>
    <w:rsid w:val="04544E35"/>
    <w:rsid w:val="046008AB"/>
    <w:rsid w:val="04C2762A"/>
    <w:rsid w:val="04E774E6"/>
    <w:rsid w:val="04FA785C"/>
    <w:rsid w:val="0521267B"/>
    <w:rsid w:val="05440570"/>
    <w:rsid w:val="05913877"/>
    <w:rsid w:val="05AB157F"/>
    <w:rsid w:val="05B173C3"/>
    <w:rsid w:val="05B33251"/>
    <w:rsid w:val="05C56143"/>
    <w:rsid w:val="05D016F4"/>
    <w:rsid w:val="05DB6255"/>
    <w:rsid w:val="05EA5B27"/>
    <w:rsid w:val="06184D1A"/>
    <w:rsid w:val="064F56FB"/>
    <w:rsid w:val="06B11478"/>
    <w:rsid w:val="06BE4756"/>
    <w:rsid w:val="06D44AAB"/>
    <w:rsid w:val="07081758"/>
    <w:rsid w:val="070B002B"/>
    <w:rsid w:val="071A4D72"/>
    <w:rsid w:val="07260896"/>
    <w:rsid w:val="072A51C2"/>
    <w:rsid w:val="073F1E0C"/>
    <w:rsid w:val="07477941"/>
    <w:rsid w:val="074B6713"/>
    <w:rsid w:val="075D4BBB"/>
    <w:rsid w:val="07B04FA7"/>
    <w:rsid w:val="07C6770B"/>
    <w:rsid w:val="07D01F26"/>
    <w:rsid w:val="081C68A1"/>
    <w:rsid w:val="08214B0F"/>
    <w:rsid w:val="08230323"/>
    <w:rsid w:val="08284E0F"/>
    <w:rsid w:val="086C2E82"/>
    <w:rsid w:val="086F1112"/>
    <w:rsid w:val="0881384D"/>
    <w:rsid w:val="08B82D1E"/>
    <w:rsid w:val="08D50BD4"/>
    <w:rsid w:val="08DD2784"/>
    <w:rsid w:val="08DE0C43"/>
    <w:rsid w:val="08F16126"/>
    <w:rsid w:val="08F27722"/>
    <w:rsid w:val="093F58EE"/>
    <w:rsid w:val="095640D3"/>
    <w:rsid w:val="0960053D"/>
    <w:rsid w:val="097B78FE"/>
    <w:rsid w:val="09815962"/>
    <w:rsid w:val="098B514D"/>
    <w:rsid w:val="09A8654F"/>
    <w:rsid w:val="09BE6E2C"/>
    <w:rsid w:val="09D05982"/>
    <w:rsid w:val="09E554ED"/>
    <w:rsid w:val="0A680197"/>
    <w:rsid w:val="0A8074E5"/>
    <w:rsid w:val="0A935DBC"/>
    <w:rsid w:val="0A9B33CD"/>
    <w:rsid w:val="0AB45558"/>
    <w:rsid w:val="0AC34320"/>
    <w:rsid w:val="0AE4474E"/>
    <w:rsid w:val="0AEA1051"/>
    <w:rsid w:val="0B2D74CC"/>
    <w:rsid w:val="0B3048DD"/>
    <w:rsid w:val="0B534F80"/>
    <w:rsid w:val="0B892519"/>
    <w:rsid w:val="0B9C2652"/>
    <w:rsid w:val="0BBD462E"/>
    <w:rsid w:val="0BD471DD"/>
    <w:rsid w:val="0BFE0F78"/>
    <w:rsid w:val="0C106C2A"/>
    <w:rsid w:val="0C874A1A"/>
    <w:rsid w:val="0CA4266F"/>
    <w:rsid w:val="0CB57F38"/>
    <w:rsid w:val="0CB736CC"/>
    <w:rsid w:val="0CBA41AB"/>
    <w:rsid w:val="0D027D10"/>
    <w:rsid w:val="0D0F7468"/>
    <w:rsid w:val="0D2733F9"/>
    <w:rsid w:val="0D3D58DC"/>
    <w:rsid w:val="0D5C5CC4"/>
    <w:rsid w:val="0D8C55EA"/>
    <w:rsid w:val="0D9A3692"/>
    <w:rsid w:val="0DA35161"/>
    <w:rsid w:val="0DEC5A81"/>
    <w:rsid w:val="0E093587"/>
    <w:rsid w:val="0E0978E8"/>
    <w:rsid w:val="0E224808"/>
    <w:rsid w:val="0E717AAE"/>
    <w:rsid w:val="0E8A51DA"/>
    <w:rsid w:val="0EBD429B"/>
    <w:rsid w:val="0ED91890"/>
    <w:rsid w:val="0EDA1683"/>
    <w:rsid w:val="0EDC101D"/>
    <w:rsid w:val="0EDF01D5"/>
    <w:rsid w:val="0EFA211F"/>
    <w:rsid w:val="0F0907F2"/>
    <w:rsid w:val="0F430B55"/>
    <w:rsid w:val="0F586C9E"/>
    <w:rsid w:val="0F596432"/>
    <w:rsid w:val="0F84613A"/>
    <w:rsid w:val="0FA9515B"/>
    <w:rsid w:val="0FCB6881"/>
    <w:rsid w:val="100B5774"/>
    <w:rsid w:val="100F12B9"/>
    <w:rsid w:val="101D7A5B"/>
    <w:rsid w:val="10396C4B"/>
    <w:rsid w:val="104C2E97"/>
    <w:rsid w:val="106B06C8"/>
    <w:rsid w:val="108B31AF"/>
    <w:rsid w:val="10966C25"/>
    <w:rsid w:val="109816BE"/>
    <w:rsid w:val="10B10856"/>
    <w:rsid w:val="10B81DAB"/>
    <w:rsid w:val="10F566DB"/>
    <w:rsid w:val="1104534C"/>
    <w:rsid w:val="11126856"/>
    <w:rsid w:val="113B3008"/>
    <w:rsid w:val="1140601D"/>
    <w:rsid w:val="11474C8F"/>
    <w:rsid w:val="118B0DDC"/>
    <w:rsid w:val="118D1D1F"/>
    <w:rsid w:val="11924600"/>
    <w:rsid w:val="11B3754D"/>
    <w:rsid w:val="11D91476"/>
    <w:rsid w:val="11F57527"/>
    <w:rsid w:val="12270778"/>
    <w:rsid w:val="1232014F"/>
    <w:rsid w:val="1237413B"/>
    <w:rsid w:val="128508B4"/>
    <w:rsid w:val="1286731E"/>
    <w:rsid w:val="12917648"/>
    <w:rsid w:val="129B1D74"/>
    <w:rsid w:val="12DA270C"/>
    <w:rsid w:val="12EF7F38"/>
    <w:rsid w:val="12FD3425"/>
    <w:rsid w:val="12FF24ED"/>
    <w:rsid w:val="134D54E5"/>
    <w:rsid w:val="13922847"/>
    <w:rsid w:val="139E25C8"/>
    <w:rsid w:val="13F52938"/>
    <w:rsid w:val="140A242E"/>
    <w:rsid w:val="140D3BA3"/>
    <w:rsid w:val="14101BD7"/>
    <w:rsid w:val="14446635"/>
    <w:rsid w:val="1469370D"/>
    <w:rsid w:val="14781956"/>
    <w:rsid w:val="148D2BF0"/>
    <w:rsid w:val="149E6F7F"/>
    <w:rsid w:val="14A12DD1"/>
    <w:rsid w:val="14F73CE6"/>
    <w:rsid w:val="15161FCE"/>
    <w:rsid w:val="151D4F83"/>
    <w:rsid w:val="154C1688"/>
    <w:rsid w:val="1567675F"/>
    <w:rsid w:val="15992AC8"/>
    <w:rsid w:val="15BE0F58"/>
    <w:rsid w:val="15DA7D0B"/>
    <w:rsid w:val="15EC136D"/>
    <w:rsid w:val="161963A9"/>
    <w:rsid w:val="161B29BB"/>
    <w:rsid w:val="163534ED"/>
    <w:rsid w:val="164F6B6E"/>
    <w:rsid w:val="165059DD"/>
    <w:rsid w:val="16624D6B"/>
    <w:rsid w:val="16A27B5F"/>
    <w:rsid w:val="16D94291"/>
    <w:rsid w:val="16E03EE2"/>
    <w:rsid w:val="16F0442D"/>
    <w:rsid w:val="16F8498E"/>
    <w:rsid w:val="17290C35"/>
    <w:rsid w:val="17706872"/>
    <w:rsid w:val="17732B0D"/>
    <w:rsid w:val="17CB6044"/>
    <w:rsid w:val="17E1236E"/>
    <w:rsid w:val="18187335"/>
    <w:rsid w:val="182C7330"/>
    <w:rsid w:val="182D27C7"/>
    <w:rsid w:val="183965AA"/>
    <w:rsid w:val="184F2496"/>
    <w:rsid w:val="18766612"/>
    <w:rsid w:val="187A5FCF"/>
    <w:rsid w:val="18810C83"/>
    <w:rsid w:val="188A7108"/>
    <w:rsid w:val="18BF1E56"/>
    <w:rsid w:val="18D47DEF"/>
    <w:rsid w:val="190B0607"/>
    <w:rsid w:val="19113C1B"/>
    <w:rsid w:val="193420DD"/>
    <w:rsid w:val="196B4A08"/>
    <w:rsid w:val="197C6AEB"/>
    <w:rsid w:val="1991170E"/>
    <w:rsid w:val="19E00F1B"/>
    <w:rsid w:val="19E50F5B"/>
    <w:rsid w:val="1A16204A"/>
    <w:rsid w:val="1A3A3F66"/>
    <w:rsid w:val="1A414C67"/>
    <w:rsid w:val="1A502274"/>
    <w:rsid w:val="1A6D08D1"/>
    <w:rsid w:val="1ADA5044"/>
    <w:rsid w:val="1AEA4658"/>
    <w:rsid w:val="1AEB00DE"/>
    <w:rsid w:val="1AF64AB8"/>
    <w:rsid w:val="1AFC4733"/>
    <w:rsid w:val="1B1C3981"/>
    <w:rsid w:val="1B2F418C"/>
    <w:rsid w:val="1B32748C"/>
    <w:rsid w:val="1B357390"/>
    <w:rsid w:val="1B3C4313"/>
    <w:rsid w:val="1B977C7B"/>
    <w:rsid w:val="1BAF31B5"/>
    <w:rsid w:val="1BB66F79"/>
    <w:rsid w:val="1C05698B"/>
    <w:rsid w:val="1C1C40FD"/>
    <w:rsid w:val="1C4604B7"/>
    <w:rsid w:val="1C662CA0"/>
    <w:rsid w:val="1C6A76DE"/>
    <w:rsid w:val="1C7B77CB"/>
    <w:rsid w:val="1CA35226"/>
    <w:rsid w:val="1CA804CA"/>
    <w:rsid w:val="1CAC2830"/>
    <w:rsid w:val="1CAE2A8F"/>
    <w:rsid w:val="1CC74761"/>
    <w:rsid w:val="1CC80B97"/>
    <w:rsid w:val="1CC9463B"/>
    <w:rsid w:val="1D5443B4"/>
    <w:rsid w:val="1D570D80"/>
    <w:rsid w:val="1D5A3097"/>
    <w:rsid w:val="1D6C749A"/>
    <w:rsid w:val="1DB66406"/>
    <w:rsid w:val="1DBA1FEE"/>
    <w:rsid w:val="1DCF22E9"/>
    <w:rsid w:val="1DCF47F9"/>
    <w:rsid w:val="1DFF9029"/>
    <w:rsid w:val="1E0C28B1"/>
    <w:rsid w:val="1E0E4083"/>
    <w:rsid w:val="1E1202E5"/>
    <w:rsid w:val="1E151EF3"/>
    <w:rsid w:val="1E3F5B67"/>
    <w:rsid w:val="1E561689"/>
    <w:rsid w:val="1ED67B2E"/>
    <w:rsid w:val="1ED772F0"/>
    <w:rsid w:val="1ED8382D"/>
    <w:rsid w:val="1ED91B97"/>
    <w:rsid w:val="1F121F23"/>
    <w:rsid w:val="1F1838B7"/>
    <w:rsid w:val="1F4C271F"/>
    <w:rsid w:val="1F6D12F7"/>
    <w:rsid w:val="1F752632"/>
    <w:rsid w:val="1F7D011D"/>
    <w:rsid w:val="1FAD1401"/>
    <w:rsid w:val="1FD405CC"/>
    <w:rsid w:val="1FD5397C"/>
    <w:rsid w:val="1FDA253F"/>
    <w:rsid w:val="1FDC4C0F"/>
    <w:rsid w:val="1FE05527"/>
    <w:rsid w:val="202E1E3B"/>
    <w:rsid w:val="20A23A6F"/>
    <w:rsid w:val="20C61C36"/>
    <w:rsid w:val="20FB752F"/>
    <w:rsid w:val="2101210D"/>
    <w:rsid w:val="21143B01"/>
    <w:rsid w:val="21451624"/>
    <w:rsid w:val="215335BB"/>
    <w:rsid w:val="215625A9"/>
    <w:rsid w:val="217F716A"/>
    <w:rsid w:val="21C60CAB"/>
    <w:rsid w:val="21F42168"/>
    <w:rsid w:val="21FB1536"/>
    <w:rsid w:val="22094EF8"/>
    <w:rsid w:val="223812A5"/>
    <w:rsid w:val="223A42D7"/>
    <w:rsid w:val="22427672"/>
    <w:rsid w:val="225D2AF8"/>
    <w:rsid w:val="22890CBB"/>
    <w:rsid w:val="22987C3E"/>
    <w:rsid w:val="22B832AE"/>
    <w:rsid w:val="22D11851"/>
    <w:rsid w:val="22D652C5"/>
    <w:rsid w:val="23145654"/>
    <w:rsid w:val="231F547E"/>
    <w:rsid w:val="234C612D"/>
    <w:rsid w:val="23534A5E"/>
    <w:rsid w:val="23591874"/>
    <w:rsid w:val="237A6967"/>
    <w:rsid w:val="23C476CE"/>
    <w:rsid w:val="23DC56BB"/>
    <w:rsid w:val="23DE6475"/>
    <w:rsid w:val="23ED37F7"/>
    <w:rsid w:val="24203C8E"/>
    <w:rsid w:val="24391194"/>
    <w:rsid w:val="2446274A"/>
    <w:rsid w:val="24473F1F"/>
    <w:rsid w:val="244F4CDE"/>
    <w:rsid w:val="24531C09"/>
    <w:rsid w:val="24697AC5"/>
    <w:rsid w:val="24775084"/>
    <w:rsid w:val="247C717A"/>
    <w:rsid w:val="24850DBC"/>
    <w:rsid w:val="24C668D8"/>
    <w:rsid w:val="24D4309C"/>
    <w:rsid w:val="24E938A7"/>
    <w:rsid w:val="24F36015"/>
    <w:rsid w:val="24F80A8E"/>
    <w:rsid w:val="24FD4973"/>
    <w:rsid w:val="25091DA3"/>
    <w:rsid w:val="250959C6"/>
    <w:rsid w:val="252250C2"/>
    <w:rsid w:val="256722C8"/>
    <w:rsid w:val="256E3CAE"/>
    <w:rsid w:val="256F0B8B"/>
    <w:rsid w:val="25791246"/>
    <w:rsid w:val="25AC45EB"/>
    <w:rsid w:val="25B20ABD"/>
    <w:rsid w:val="25B4030B"/>
    <w:rsid w:val="25CA3E4E"/>
    <w:rsid w:val="25CA46D2"/>
    <w:rsid w:val="25E66FE6"/>
    <w:rsid w:val="25F162DE"/>
    <w:rsid w:val="26050DAC"/>
    <w:rsid w:val="26057B99"/>
    <w:rsid w:val="261A3055"/>
    <w:rsid w:val="26333C76"/>
    <w:rsid w:val="26465298"/>
    <w:rsid w:val="2667412A"/>
    <w:rsid w:val="266D171F"/>
    <w:rsid w:val="26BC006C"/>
    <w:rsid w:val="26BD169A"/>
    <w:rsid w:val="26D105D7"/>
    <w:rsid w:val="26FD6796"/>
    <w:rsid w:val="2736374E"/>
    <w:rsid w:val="27426C09"/>
    <w:rsid w:val="2767311F"/>
    <w:rsid w:val="27A2298F"/>
    <w:rsid w:val="27B92713"/>
    <w:rsid w:val="27BF3661"/>
    <w:rsid w:val="27C9533D"/>
    <w:rsid w:val="27CB2A1B"/>
    <w:rsid w:val="27D02F7A"/>
    <w:rsid w:val="27D377EE"/>
    <w:rsid w:val="27DD6F8D"/>
    <w:rsid w:val="280B5A8A"/>
    <w:rsid w:val="289F1432"/>
    <w:rsid w:val="28BC5834"/>
    <w:rsid w:val="28E75ACF"/>
    <w:rsid w:val="28ED6561"/>
    <w:rsid w:val="290B1E26"/>
    <w:rsid w:val="2932527C"/>
    <w:rsid w:val="293C2FD0"/>
    <w:rsid w:val="295474CA"/>
    <w:rsid w:val="296C5E89"/>
    <w:rsid w:val="29823D94"/>
    <w:rsid w:val="29B0591E"/>
    <w:rsid w:val="29B77299"/>
    <w:rsid w:val="29D937F7"/>
    <w:rsid w:val="29DB6B00"/>
    <w:rsid w:val="29F31250"/>
    <w:rsid w:val="29FE5A2A"/>
    <w:rsid w:val="2A777CDF"/>
    <w:rsid w:val="2A7B3D22"/>
    <w:rsid w:val="2A802A41"/>
    <w:rsid w:val="2A8952A7"/>
    <w:rsid w:val="2AE6562B"/>
    <w:rsid w:val="2AEA3A86"/>
    <w:rsid w:val="2AED708A"/>
    <w:rsid w:val="2AF30424"/>
    <w:rsid w:val="2AFFC897"/>
    <w:rsid w:val="2B167463"/>
    <w:rsid w:val="2B1C08B3"/>
    <w:rsid w:val="2B1D6E92"/>
    <w:rsid w:val="2B33450F"/>
    <w:rsid w:val="2B3F36EA"/>
    <w:rsid w:val="2B4079C9"/>
    <w:rsid w:val="2B476F0B"/>
    <w:rsid w:val="2BA9442C"/>
    <w:rsid w:val="2BDB28F4"/>
    <w:rsid w:val="2C043508"/>
    <w:rsid w:val="2C0C1481"/>
    <w:rsid w:val="2C4B06A0"/>
    <w:rsid w:val="2C5363D0"/>
    <w:rsid w:val="2C55420D"/>
    <w:rsid w:val="2C5B22A3"/>
    <w:rsid w:val="2C74191D"/>
    <w:rsid w:val="2C8D3DE9"/>
    <w:rsid w:val="2CC624AC"/>
    <w:rsid w:val="2CEC5648"/>
    <w:rsid w:val="2CFC4942"/>
    <w:rsid w:val="2D021BC3"/>
    <w:rsid w:val="2D5477A5"/>
    <w:rsid w:val="2D711A97"/>
    <w:rsid w:val="2D763A66"/>
    <w:rsid w:val="2DE2273F"/>
    <w:rsid w:val="2DEA4927"/>
    <w:rsid w:val="2E1C1F2D"/>
    <w:rsid w:val="2E656A7F"/>
    <w:rsid w:val="2E837DEB"/>
    <w:rsid w:val="2E9429D7"/>
    <w:rsid w:val="2EB03A51"/>
    <w:rsid w:val="2ED57962"/>
    <w:rsid w:val="2EE26DEC"/>
    <w:rsid w:val="2EFD40AE"/>
    <w:rsid w:val="2EFECC4E"/>
    <w:rsid w:val="2F0A3228"/>
    <w:rsid w:val="2F1F3BBD"/>
    <w:rsid w:val="2F346632"/>
    <w:rsid w:val="2F3C2C2D"/>
    <w:rsid w:val="2F3E7229"/>
    <w:rsid w:val="2F6438BC"/>
    <w:rsid w:val="2FA3298B"/>
    <w:rsid w:val="2FC2371A"/>
    <w:rsid w:val="30021A26"/>
    <w:rsid w:val="3014658A"/>
    <w:rsid w:val="301D22A9"/>
    <w:rsid w:val="30293509"/>
    <w:rsid w:val="30451C98"/>
    <w:rsid w:val="305A0DE9"/>
    <w:rsid w:val="30651D64"/>
    <w:rsid w:val="308242EB"/>
    <w:rsid w:val="30B50C25"/>
    <w:rsid w:val="30D72159"/>
    <w:rsid w:val="30DE45B8"/>
    <w:rsid w:val="30EC7338"/>
    <w:rsid w:val="311A5B3C"/>
    <w:rsid w:val="315159E2"/>
    <w:rsid w:val="3158696F"/>
    <w:rsid w:val="3167603F"/>
    <w:rsid w:val="317E2616"/>
    <w:rsid w:val="31902F5C"/>
    <w:rsid w:val="31DD6A2A"/>
    <w:rsid w:val="31DE56D3"/>
    <w:rsid w:val="31F83A09"/>
    <w:rsid w:val="31F972F5"/>
    <w:rsid w:val="32247465"/>
    <w:rsid w:val="323740FD"/>
    <w:rsid w:val="32C17E79"/>
    <w:rsid w:val="32C9064A"/>
    <w:rsid w:val="32CF7ADF"/>
    <w:rsid w:val="32F606BF"/>
    <w:rsid w:val="330F1BCE"/>
    <w:rsid w:val="333B1ACC"/>
    <w:rsid w:val="3369007B"/>
    <w:rsid w:val="33C544B6"/>
    <w:rsid w:val="33C6789E"/>
    <w:rsid w:val="33E03391"/>
    <w:rsid w:val="34024E98"/>
    <w:rsid w:val="340D7E5B"/>
    <w:rsid w:val="34127058"/>
    <w:rsid w:val="34251DBC"/>
    <w:rsid w:val="343D6C2A"/>
    <w:rsid w:val="345969C5"/>
    <w:rsid w:val="347B5963"/>
    <w:rsid w:val="34812503"/>
    <w:rsid w:val="34A40515"/>
    <w:rsid w:val="353D482F"/>
    <w:rsid w:val="355D7B8B"/>
    <w:rsid w:val="356F4272"/>
    <w:rsid w:val="35B036DA"/>
    <w:rsid w:val="35E356DA"/>
    <w:rsid w:val="35FF721C"/>
    <w:rsid w:val="360C05DA"/>
    <w:rsid w:val="3619189F"/>
    <w:rsid w:val="363156AC"/>
    <w:rsid w:val="36434F65"/>
    <w:rsid w:val="365D2460"/>
    <w:rsid w:val="36770154"/>
    <w:rsid w:val="36917A4F"/>
    <w:rsid w:val="36E45DAA"/>
    <w:rsid w:val="3707372E"/>
    <w:rsid w:val="371C619F"/>
    <w:rsid w:val="373C7E41"/>
    <w:rsid w:val="375950A3"/>
    <w:rsid w:val="377043CE"/>
    <w:rsid w:val="37776A0D"/>
    <w:rsid w:val="3782469E"/>
    <w:rsid w:val="378F2CB8"/>
    <w:rsid w:val="379220B5"/>
    <w:rsid w:val="37985C8F"/>
    <w:rsid w:val="379B2A0C"/>
    <w:rsid w:val="379F1245"/>
    <w:rsid w:val="37A34FFE"/>
    <w:rsid w:val="37CE45C7"/>
    <w:rsid w:val="37DA2A8D"/>
    <w:rsid w:val="37DB00E6"/>
    <w:rsid w:val="37E32D80"/>
    <w:rsid w:val="38351732"/>
    <w:rsid w:val="3855763B"/>
    <w:rsid w:val="385F1EA0"/>
    <w:rsid w:val="387954E1"/>
    <w:rsid w:val="388D0C30"/>
    <w:rsid w:val="388D4E34"/>
    <w:rsid w:val="38AB1BB6"/>
    <w:rsid w:val="38B41743"/>
    <w:rsid w:val="38C00C71"/>
    <w:rsid w:val="38CD2175"/>
    <w:rsid w:val="38D725D9"/>
    <w:rsid w:val="38DB43E6"/>
    <w:rsid w:val="38E46C5D"/>
    <w:rsid w:val="38EF6095"/>
    <w:rsid w:val="38FB1003"/>
    <w:rsid w:val="39087B2C"/>
    <w:rsid w:val="39357EDA"/>
    <w:rsid w:val="39371CB8"/>
    <w:rsid w:val="394960CC"/>
    <w:rsid w:val="39526FA3"/>
    <w:rsid w:val="395947D9"/>
    <w:rsid w:val="397221CB"/>
    <w:rsid w:val="39806628"/>
    <w:rsid w:val="398B5ECD"/>
    <w:rsid w:val="398D47E8"/>
    <w:rsid w:val="39A03C3A"/>
    <w:rsid w:val="39A53387"/>
    <w:rsid w:val="39BD60DD"/>
    <w:rsid w:val="39C13A0E"/>
    <w:rsid w:val="39DC1E85"/>
    <w:rsid w:val="39EC7910"/>
    <w:rsid w:val="39EF43C9"/>
    <w:rsid w:val="3A18226F"/>
    <w:rsid w:val="3A344349"/>
    <w:rsid w:val="3A457FCA"/>
    <w:rsid w:val="3A5E2C73"/>
    <w:rsid w:val="3A6852EC"/>
    <w:rsid w:val="3A73249A"/>
    <w:rsid w:val="3A9D5029"/>
    <w:rsid w:val="3AB8744A"/>
    <w:rsid w:val="3AE53D37"/>
    <w:rsid w:val="3AED4305"/>
    <w:rsid w:val="3B5B788C"/>
    <w:rsid w:val="3B741904"/>
    <w:rsid w:val="3B77437A"/>
    <w:rsid w:val="3B97F9D4"/>
    <w:rsid w:val="3B9B3FB1"/>
    <w:rsid w:val="3B9D1BA5"/>
    <w:rsid w:val="3BC91B54"/>
    <w:rsid w:val="3BD104B8"/>
    <w:rsid w:val="3C0B2047"/>
    <w:rsid w:val="3C2E5F99"/>
    <w:rsid w:val="3C3F766B"/>
    <w:rsid w:val="3C41213F"/>
    <w:rsid w:val="3C735501"/>
    <w:rsid w:val="3C7B3171"/>
    <w:rsid w:val="3C9464E5"/>
    <w:rsid w:val="3CB662EA"/>
    <w:rsid w:val="3CC465B0"/>
    <w:rsid w:val="3CD05A5A"/>
    <w:rsid w:val="3D047E1B"/>
    <w:rsid w:val="3D29031E"/>
    <w:rsid w:val="3D297C69"/>
    <w:rsid w:val="3D405ED6"/>
    <w:rsid w:val="3D435977"/>
    <w:rsid w:val="3D58196B"/>
    <w:rsid w:val="3D611645"/>
    <w:rsid w:val="3D6D5890"/>
    <w:rsid w:val="3D73773C"/>
    <w:rsid w:val="3D9D28A0"/>
    <w:rsid w:val="3DA06523"/>
    <w:rsid w:val="3DC43894"/>
    <w:rsid w:val="3DE449D6"/>
    <w:rsid w:val="3DFC3EB1"/>
    <w:rsid w:val="3DFD4CDC"/>
    <w:rsid w:val="3E1710BC"/>
    <w:rsid w:val="3E297C2D"/>
    <w:rsid w:val="3E4E6BBD"/>
    <w:rsid w:val="3E536054"/>
    <w:rsid w:val="3E8E4FEF"/>
    <w:rsid w:val="3EAB773A"/>
    <w:rsid w:val="3EB40C03"/>
    <w:rsid w:val="3EB9047B"/>
    <w:rsid w:val="3EC35E97"/>
    <w:rsid w:val="3ECD1F2A"/>
    <w:rsid w:val="3EEF0B4C"/>
    <w:rsid w:val="3F106786"/>
    <w:rsid w:val="3F2165FA"/>
    <w:rsid w:val="3F2F1ECC"/>
    <w:rsid w:val="3F4841CF"/>
    <w:rsid w:val="3FA73E6E"/>
    <w:rsid w:val="3FA7F0F5"/>
    <w:rsid w:val="3FBF6C4D"/>
    <w:rsid w:val="3FE3055A"/>
    <w:rsid w:val="3FE30FDA"/>
    <w:rsid w:val="40893340"/>
    <w:rsid w:val="40941577"/>
    <w:rsid w:val="40982D54"/>
    <w:rsid w:val="40A6618F"/>
    <w:rsid w:val="40AC0A15"/>
    <w:rsid w:val="40B24EF3"/>
    <w:rsid w:val="40C10197"/>
    <w:rsid w:val="40C33EDC"/>
    <w:rsid w:val="40CF3BA8"/>
    <w:rsid w:val="40D87342"/>
    <w:rsid w:val="40FB7DA4"/>
    <w:rsid w:val="41420CFB"/>
    <w:rsid w:val="41557DB8"/>
    <w:rsid w:val="41581407"/>
    <w:rsid w:val="41931F70"/>
    <w:rsid w:val="41A05304"/>
    <w:rsid w:val="41A2317F"/>
    <w:rsid w:val="41E94D03"/>
    <w:rsid w:val="41F077E7"/>
    <w:rsid w:val="41F33DDE"/>
    <w:rsid w:val="422214AB"/>
    <w:rsid w:val="42432839"/>
    <w:rsid w:val="424A42C3"/>
    <w:rsid w:val="4254688A"/>
    <w:rsid w:val="428F4401"/>
    <w:rsid w:val="42AD480C"/>
    <w:rsid w:val="42CF4E64"/>
    <w:rsid w:val="42F01505"/>
    <w:rsid w:val="42F83EEA"/>
    <w:rsid w:val="42FB608A"/>
    <w:rsid w:val="432B7E5B"/>
    <w:rsid w:val="434F48A2"/>
    <w:rsid w:val="43592B23"/>
    <w:rsid w:val="437D693E"/>
    <w:rsid w:val="43A07E82"/>
    <w:rsid w:val="43DD1CC7"/>
    <w:rsid w:val="440E7F6B"/>
    <w:rsid w:val="440F6C97"/>
    <w:rsid w:val="441411C3"/>
    <w:rsid w:val="441544F1"/>
    <w:rsid w:val="4424176F"/>
    <w:rsid w:val="442A4867"/>
    <w:rsid w:val="443D25D5"/>
    <w:rsid w:val="444E5790"/>
    <w:rsid w:val="445A796F"/>
    <w:rsid w:val="445B2A85"/>
    <w:rsid w:val="44736AD2"/>
    <w:rsid w:val="44944500"/>
    <w:rsid w:val="44A0182C"/>
    <w:rsid w:val="44D561D8"/>
    <w:rsid w:val="44FE1B2D"/>
    <w:rsid w:val="45014242"/>
    <w:rsid w:val="45151448"/>
    <w:rsid w:val="45167E19"/>
    <w:rsid w:val="45566991"/>
    <w:rsid w:val="45662AE9"/>
    <w:rsid w:val="457E54A7"/>
    <w:rsid w:val="45817197"/>
    <w:rsid w:val="45841435"/>
    <w:rsid w:val="458643F1"/>
    <w:rsid w:val="45BA7828"/>
    <w:rsid w:val="45C22A88"/>
    <w:rsid w:val="45F519F4"/>
    <w:rsid w:val="45FD1C5C"/>
    <w:rsid w:val="46027A65"/>
    <w:rsid w:val="46290916"/>
    <w:rsid w:val="46293923"/>
    <w:rsid w:val="4644426D"/>
    <w:rsid w:val="46490EEB"/>
    <w:rsid w:val="46A56B0E"/>
    <w:rsid w:val="46CB4458"/>
    <w:rsid w:val="46D0688A"/>
    <w:rsid w:val="46E41811"/>
    <w:rsid w:val="46F767A3"/>
    <w:rsid w:val="47126295"/>
    <w:rsid w:val="47183FC1"/>
    <w:rsid w:val="47694EED"/>
    <w:rsid w:val="478011BE"/>
    <w:rsid w:val="4784001F"/>
    <w:rsid w:val="479D3E37"/>
    <w:rsid w:val="47C32982"/>
    <w:rsid w:val="47EC13FA"/>
    <w:rsid w:val="47ED74DF"/>
    <w:rsid w:val="47EF3582"/>
    <w:rsid w:val="48067F6E"/>
    <w:rsid w:val="481A3B30"/>
    <w:rsid w:val="4834278A"/>
    <w:rsid w:val="48435495"/>
    <w:rsid w:val="484A1C1C"/>
    <w:rsid w:val="484C58A9"/>
    <w:rsid w:val="486B4963"/>
    <w:rsid w:val="48715676"/>
    <w:rsid w:val="487629B4"/>
    <w:rsid w:val="48BE6BC8"/>
    <w:rsid w:val="48CB430B"/>
    <w:rsid w:val="48CF4738"/>
    <w:rsid w:val="48E64FF7"/>
    <w:rsid w:val="4900461C"/>
    <w:rsid w:val="491002BB"/>
    <w:rsid w:val="492B6D25"/>
    <w:rsid w:val="49324C8A"/>
    <w:rsid w:val="49422101"/>
    <w:rsid w:val="494D5787"/>
    <w:rsid w:val="499B3934"/>
    <w:rsid w:val="499D0CC7"/>
    <w:rsid w:val="49A51B26"/>
    <w:rsid w:val="49B9331C"/>
    <w:rsid w:val="49D85DA2"/>
    <w:rsid w:val="49D93CD6"/>
    <w:rsid w:val="49E3501D"/>
    <w:rsid w:val="4A067D64"/>
    <w:rsid w:val="4A09702C"/>
    <w:rsid w:val="4A1403F9"/>
    <w:rsid w:val="4A3F6EAD"/>
    <w:rsid w:val="4A565CB2"/>
    <w:rsid w:val="4A5C2FF1"/>
    <w:rsid w:val="4A7B47F8"/>
    <w:rsid w:val="4A7B60F4"/>
    <w:rsid w:val="4A962AE9"/>
    <w:rsid w:val="4AB44169"/>
    <w:rsid w:val="4AE02771"/>
    <w:rsid w:val="4B0B7ED6"/>
    <w:rsid w:val="4B25155D"/>
    <w:rsid w:val="4B386B3A"/>
    <w:rsid w:val="4B397979"/>
    <w:rsid w:val="4B470561"/>
    <w:rsid w:val="4B686BCC"/>
    <w:rsid w:val="4B714BAB"/>
    <w:rsid w:val="4B7B5BBF"/>
    <w:rsid w:val="4B8BEE9D"/>
    <w:rsid w:val="4BBA2675"/>
    <w:rsid w:val="4BBF3CCA"/>
    <w:rsid w:val="4BDB747A"/>
    <w:rsid w:val="4BDF05CD"/>
    <w:rsid w:val="4C0425AA"/>
    <w:rsid w:val="4C125EE5"/>
    <w:rsid w:val="4C317E15"/>
    <w:rsid w:val="4C4839AE"/>
    <w:rsid w:val="4C4D0C4C"/>
    <w:rsid w:val="4C780805"/>
    <w:rsid w:val="4C831848"/>
    <w:rsid w:val="4CA02C04"/>
    <w:rsid w:val="4CB26549"/>
    <w:rsid w:val="4CB84250"/>
    <w:rsid w:val="4CC51A0C"/>
    <w:rsid w:val="4CE85367"/>
    <w:rsid w:val="4D0A68D6"/>
    <w:rsid w:val="4D121D4C"/>
    <w:rsid w:val="4D282FEF"/>
    <w:rsid w:val="4D5D2B08"/>
    <w:rsid w:val="4D60440B"/>
    <w:rsid w:val="4D7216D6"/>
    <w:rsid w:val="4D8C4B6F"/>
    <w:rsid w:val="4DA14740"/>
    <w:rsid w:val="4DBA1508"/>
    <w:rsid w:val="4DCA5C40"/>
    <w:rsid w:val="4DCF5B25"/>
    <w:rsid w:val="4DD80E4C"/>
    <w:rsid w:val="4DDA1AD9"/>
    <w:rsid w:val="4DE65CF1"/>
    <w:rsid w:val="4DE9075C"/>
    <w:rsid w:val="4E35282E"/>
    <w:rsid w:val="4E507089"/>
    <w:rsid w:val="4E515438"/>
    <w:rsid w:val="4E531856"/>
    <w:rsid w:val="4E601729"/>
    <w:rsid w:val="4E6D4074"/>
    <w:rsid w:val="4EAC5F4E"/>
    <w:rsid w:val="4EB65265"/>
    <w:rsid w:val="4EC21958"/>
    <w:rsid w:val="4EDF6D5F"/>
    <w:rsid w:val="4EE837AF"/>
    <w:rsid w:val="4EEB3A35"/>
    <w:rsid w:val="4EF94C7E"/>
    <w:rsid w:val="4F7039E5"/>
    <w:rsid w:val="4F7A0883"/>
    <w:rsid w:val="4F843FD9"/>
    <w:rsid w:val="4F870A45"/>
    <w:rsid w:val="4F92224E"/>
    <w:rsid w:val="4F9B03F3"/>
    <w:rsid w:val="4FAA53C3"/>
    <w:rsid w:val="4FAD5ACE"/>
    <w:rsid w:val="4FB848E1"/>
    <w:rsid w:val="4FB917C6"/>
    <w:rsid w:val="4FC54222"/>
    <w:rsid w:val="4FD723F9"/>
    <w:rsid w:val="4FDC32AC"/>
    <w:rsid w:val="5000797B"/>
    <w:rsid w:val="501233B4"/>
    <w:rsid w:val="501E1FB3"/>
    <w:rsid w:val="501E7A7B"/>
    <w:rsid w:val="50877F89"/>
    <w:rsid w:val="509E78DB"/>
    <w:rsid w:val="50A13D80"/>
    <w:rsid w:val="50AB4CE7"/>
    <w:rsid w:val="50D94942"/>
    <w:rsid w:val="50E05E27"/>
    <w:rsid w:val="50E333E9"/>
    <w:rsid w:val="50F24DC7"/>
    <w:rsid w:val="515F504E"/>
    <w:rsid w:val="516F0099"/>
    <w:rsid w:val="51817937"/>
    <w:rsid w:val="51C20FAB"/>
    <w:rsid w:val="51F60AD7"/>
    <w:rsid w:val="51FF2924"/>
    <w:rsid w:val="52063490"/>
    <w:rsid w:val="521C3659"/>
    <w:rsid w:val="522B220F"/>
    <w:rsid w:val="523F17FB"/>
    <w:rsid w:val="52460B9D"/>
    <w:rsid w:val="5267F0AE"/>
    <w:rsid w:val="527057A3"/>
    <w:rsid w:val="527F04FF"/>
    <w:rsid w:val="52A21792"/>
    <w:rsid w:val="52A21B54"/>
    <w:rsid w:val="52AB709A"/>
    <w:rsid w:val="52B56E33"/>
    <w:rsid w:val="52BF5466"/>
    <w:rsid w:val="52C51521"/>
    <w:rsid w:val="53064201"/>
    <w:rsid w:val="53854807"/>
    <w:rsid w:val="5396412A"/>
    <w:rsid w:val="53B26B74"/>
    <w:rsid w:val="53C26BF3"/>
    <w:rsid w:val="53D46EFB"/>
    <w:rsid w:val="53D946F2"/>
    <w:rsid w:val="53DA1A51"/>
    <w:rsid w:val="543106CC"/>
    <w:rsid w:val="5443619E"/>
    <w:rsid w:val="54611771"/>
    <w:rsid w:val="5472536A"/>
    <w:rsid w:val="54A72C8B"/>
    <w:rsid w:val="54D25757"/>
    <w:rsid w:val="55124A02"/>
    <w:rsid w:val="551F0ABA"/>
    <w:rsid w:val="554B20A8"/>
    <w:rsid w:val="55AB3EE5"/>
    <w:rsid w:val="55E63BAB"/>
    <w:rsid w:val="55EB4700"/>
    <w:rsid w:val="5616681C"/>
    <w:rsid w:val="562E22D3"/>
    <w:rsid w:val="56324BC0"/>
    <w:rsid w:val="56566BFD"/>
    <w:rsid w:val="565727A8"/>
    <w:rsid w:val="56784FDD"/>
    <w:rsid w:val="56B84A79"/>
    <w:rsid w:val="56C41A43"/>
    <w:rsid w:val="56DA57FB"/>
    <w:rsid w:val="56E36410"/>
    <w:rsid w:val="56EC6EFD"/>
    <w:rsid w:val="571617D9"/>
    <w:rsid w:val="57222A70"/>
    <w:rsid w:val="573665C5"/>
    <w:rsid w:val="57436DED"/>
    <w:rsid w:val="575D653E"/>
    <w:rsid w:val="5765227B"/>
    <w:rsid w:val="576E5731"/>
    <w:rsid w:val="577401D8"/>
    <w:rsid w:val="57783A44"/>
    <w:rsid w:val="5796247D"/>
    <w:rsid w:val="57A6594A"/>
    <w:rsid w:val="57C43174"/>
    <w:rsid w:val="57C43978"/>
    <w:rsid w:val="57C74DAD"/>
    <w:rsid w:val="57D852B0"/>
    <w:rsid w:val="57F169A8"/>
    <w:rsid w:val="582019BD"/>
    <w:rsid w:val="5871127D"/>
    <w:rsid w:val="58B95B1B"/>
    <w:rsid w:val="58BD5E9B"/>
    <w:rsid w:val="58C9518F"/>
    <w:rsid w:val="58D65B10"/>
    <w:rsid w:val="58EB6C13"/>
    <w:rsid w:val="58F12D5C"/>
    <w:rsid w:val="58FFC1FB"/>
    <w:rsid w:val="5923173A"/>
    <w:rsid w:val="597A6CB6"/>
    <w:rsid w:val="597B7850"/>
    <w:rsid w:val="59977344"/>
    <w:rsid w:val="59A42765"/>
    <w:rsid w:val="59B305C7"/>
    <w:rsid w:val="59C435AC"/>
    <w:rsid w:val="59E26EBD"/>
    <w:rsid w:val="59FD3AE4"/>
    <w:rsid w:val="59FD6CD5"/>
    <w:rsid w:val="5A1C51B2"/>
    <w:rsid w:val="5A245626"/>
    <w:rsid w:val="5A2C6AD0"/>
    <w:rsid w:val="5A302C78"/>
    <w:rsid w:val="5A892DF3"/>
    <w:rsid w:val="5AB778D6"/>
    <w:rsid w:val="5AC3264D"/>
    <w:rsid w:val="5AC64FA6"/>
    <w:rsid w:val="5B0E2D73"/>
    <w:rsid w:val="5B1168A6"/>
    <w:rsid w:val="5B1A1F8B"/>
    <w:rsid w:val="5B1F0A63"/>
    <w:rsid w:val="5B2E720A"/>
    <w:rsid w:val="5B411AAF"/>
    <w:rsid w:val="5B45370B"/>
    <w:rsid w:val="5B4B3AB1"/>
    <w:rsid w:val="5B4E3473"/>
    <w:rsid w:val="5B7E777A"/>
    <w:rsid w:val="5B852D31"/>
    <w:rsid w:val="5B8570B5"/>
    <w:rsid w:val="5BBEE18E"/>
    <w:rsid w:val="5BD17486"/>
    <w:rsid w:val="5BFD6F41"/>
    <w:rsid w:val="5C325BAF"/>
    <w:rsid w:val="5C3319A2"/>
    <w:rsid w:val="5C3A7583"/>
    <w:rsid w:val="5C40785F"/>
    <w:rsid w:val="5C424C01"/>
    <w:rsid w:val="5C541471"/>
    <w:rsid w:val="5C603171"/>
    <w:rsid w:val="5C6F3FDC"/>
    <w:rsid w:val="5C9A623F"/>
    <w:rsid w:val="5C9B3011"/>
    <w:rsid w:val="5C9D6D30"/>
    <w:rsid w:val="5CA8678D"/>
    <w:rsid w:val="5CB66D58"/>
    <w:rsid w:val="5CC96E44"/>
    <w:rsid w:val="5CD507E4"/>
    <w:rsid w:val="5D213963"/>
    <w:rsid w:val="5D4C2A26"/>
    <w:rsid w:val="5D4E71CE"/>
    <w:rsid w:val="5D6C6DA3"/>
    <w:rsid w:val="5D9908AF"/>
    <w:rsid w:val="5DA51333"/>
    <w:rsid w:val="5DF17AC9"/>
    <w:rsid w:val="5DFB1C14"/>
    <w:rsid w:val="5E45202F"/>
    <w:rsid w:val="5E5035F7"/>
    <w:rsid w:val="5E7BDE97"/>
    <w:rsid w:val="5E936DCA"/>
    <w:rsid w:val="5E9D550B"/>
    <w:rsid w:val="5EA750F7"/>
    <w:rsid w:val="5EA818D9"/>
    <w:rsid w:val="5EAF4666"/>
    <w:rsid w:val="5EBB0857"/>
    <w:rsid w:val="5EE70F9C"/>
    <w:rsid w:val="5F0754D2"/>
    <w:rsid w:val="5F1426F8"/>
    <w:rsid w:val="5F291B4C"/>
    <w:rsid w:val="5F297B56"/>
    <w:rsid w:val="5F2C5625"/>
    <w:rsid w:val="5F3A177E"/>
    <w:rsid w:val="5F4D7E67"/>
    <w:rsid w:val="5F500CE5"/>
    <w:rsid w:val="5F504468"/>
    <w:rsid w:val="5FA27774"/>
    <w:rsid w:val="5FB40D8B"/>
    <w:rsid w:val="5FB66033"/>
    <w:rsid w:val="5FB7486A"/>
    <w:rsid w:val="5FBC7684"/>
    <w:rsid w:val="5FC67069"/>
    <w:rsid w:val="5FF5067C"/>
    <w:rsid w:val="5FF92183"/>
    <w:rsid w:val="5FFD1AE9"/>
    <w:rsid w:val="60283DE7"/>
    <w:rsid w:val="6030006E"/>
    <w:rsid w:val="60470FEA"/>
    <w:rsid w:val="60687058"/>
    <w:rsid w:val="60BD7054"/>
    <w:rsid w:val="60E9757B"/>
    <w:rsid w:val="610E48C1"/>
    <w:rsid w:val="612D7C50"/>
    <w:rsid w:val="613A419B"/>
    <w:rsid w:val="61496F45"/>
    <w:rsid w:val="61837894"/>
    <w:rsid w:val="619F08DC"/>
    <w:rsid w:val="61A80E37"/>
    <w:rsid w:val="61B522CB"/>
    <w:rsid w:val="61BF3DC6"/>
    <w:rsid w:val="61D97FE4"/>
    <w:rsid w:val="61E33D4A"/>
    <w:rsid w:val="621243D5"/>
    <w:rsid w:val="62330B42"/>
    <w:rsid w:val="6259213C"/>
    <w:rsid w:val="626764FD"/>
    <w:rsid w:val="62750D3C"/>
    <w:rsid w:val="62755818"/>
    <w:rsid w:val="62B53CFB"/>
    <w:rsid w:val="62C519F5"/>
    <w:rsid w:val="62CD027B"/>
    <w:rsid w:val="62CE1471"/>
    <w:rsid w:val="62EF532C"/>
    <w:rsid w:val="633C44DD"/>
    <w:rsid w:val="634D03C3"/>
    <w:rsid w:val="634E4BBA"/>
    <w:rsid w:val="635C41B3"/>
    <w:rsid w:val="63796EC5"/>
    <w:rsid w:val="638D2153"/>
    <w:rsid w:val="639E7F30"/>
    <w:rsid w:val="63AF086D"/>
    <w:rsid w:val="63B07242"/>
    <w:rsid w:val="63D748FD"/>
    <w:rsid w:val="63E447B6"/>
    <w:rsid w:val="63F52EDE"/>
    <w:rsid w:val="64097E33"/>
    <w:rsid w:val="642F318C"/>
    <w:rsid w:val="646953A2"/>
    <w:rsid w:val="6480349D"/>
    <w:rsid w:val="64AC37CA"/>
    <w:rsid w:val="64EB7244"/>
    <w:rsid w:val="64F452E3"/>
    <w:rsid w:val="64FB79A1"/>
    <w:rsid w:val="6507769E"/>
    <w:rsid w:val="652740C5"/>
    <w:rsid w:val="65576F25"/>
    <w:rsid w:val="6574674B"/>
    <w:rsid w:val="658905C3"/>
    <w:rsid w:val="658B37EC"/>
    <w:rsid w:val="659B1113"/>
    <w:rsid w:val="65A32FCA"/>
    <w:rsid w:val="65AF0F48"/>
    <w:rsid w:val="65D8780A"/>
    <w:rsid w:val="65EE7144"/>
    <w:rsid w:val="661C1300"/>
    <w:rsid w:val="663B4A0C"/>
    <w:rsid w:val="66743953"/>
    <w:rsid w:val="668007A1"/>
    <w:rsid w:val="66876FB7"/>
    <w:rsid w:val="67243EA7"/>
    <w:rsid w:val="673363A0"/>
    <w:rsid w:val="67840C8C"/>
    <w:rsid w:val="67BF8714"/>
    <w:rsid w:val="67C35540"/>
    <w:rsid w:val="67C57FCF"/>
    <w:rsid w:val="67FF9D93"/>
    <w:rsid w:val="682C07CB"/>
    <w:rsid w:val="68433952"/>
    <w:rsid w:val="684F1AD8"/>
    <w:rsid w:val="6865410C"/>
    <w:rsid w:val="68677BE6"/>
    <w:rsid w:val="687E4B18"/>
    <w:rsid w:val="688766EE"/>
    <w:rsid w:val="68B90F4A"/>
    <w:rsid w:val="68F910E8"/>
    <w:rsid w:val="69064D41"/>
    <w:rsid w:val="69254455"/>
    <w:rsid w:val="692B2298"/>
    <w:rsid w:val="694B05C4"/>
    <w:rsid w:val="69604778"/>
    <w:rsid w:val="69617818"/>
    <w:rsid w:val="6977AC53"/>
    <w:rsid w:val="699F4515"/>
    <w:rsid w:val="69DD0439"/>
    <w:rsid w:val="69E13151"/>
    <w:rsid w:val="69F54653"/>
    <w:rsid w:val="69F73B2C"/>
    <w:rsid w:val="6A6F395B"/>
    <w:rsid w:val="6A762889"/>
    <w:rsid w:val="6A7B1540"/>
    <w:rsid w:val="6AC73363"/>
    <w:rsid w:val="6AE1642D"/>
    <w:rsid w:val="6AE7127C"/>
    <w:rsid w:val="6AE82F1E"/>
    <w:rsid w:val="6AF04E62"/>
    <w:rsid w:val="6B2576BD"/>
    <w:rsid w:val="6B293A4B"/>
    <w:rsid w:val="6B2D6B18"/>
    <w:rsid w:val="6B332AED"/>
    <w:rsid w:val="6B3F69E8"/>
    <w:rsid w:val="6B58040C"/>
    <w:rsid w:val="6B923913"/>
    <w:rsid w:val="6B99220E"/>
    <w:rsid w:val="6B9B3943"/>
    <w:rsid w:val="6BDFA950"/>
    <w:rsid w:val="6BE4286A"/>
    <w:rsid w:val="6BF01F7A"/>
    <w:rsid w:val="6BFA9681"/>
    <w:rsid w:val="6C1336E9"/>
    <w:rsid w:val="6C3D1CD1"/>
    <w:rsid w:val="6CBF6F9C"/>
    <w:rsid w:val="6CCA6755"/>
    <w:rsid w:val="6CDF15BA"/>
    <w:rsid w:val="6CE026EF"/>
    <w:rsid w:val="6CF656DD"/>
    <w:rsid w:val="6D2D465B"/>
    <w:rsid w:val="6D370927"/>
    <w:rsid w:val="6D3873AF"/>
    <w:rsid w:val="6D537FF5"/>
    <w:rsid w:val="6D776427"/>
    <w:rsid w:val="6D901FB7"/>
    <w:rsid w:val="6D947B26"/>
    <w:rsid w:val="6D9BBD9F"/>
    <w:rsid w:val="6DDE5E67"/>
    <w:rsid w:val="6DE62E93"/>
    <w:rsid w:val="6E022657"/>
    <w:rsid w:val="6E2E30B6"/>
    <w:rsid w:val="6E47514E"/>
    <w:rsid w:val="6E556427"/>
    <w:rsid w:val="6E603E40"/>
    <w:rsid w:val="6E832413"/>
    <w:rsid w:val="6E8639B9"/>
    <w:rsid w:val="6EC10249"/>
    <w:rsid w:val="6ED13F14"/>
    <w:rsid w:val="6F040470"/>
    <w:rsid w:val="6F126AF8"/>
    <w:rsid w:val="6F1E19FB"/>
    <w:rsid w:val="6F53493A"/>
    <w:rsid w:val="6F583B03"/>
    <w:rsid w:val="6F622479"/>
    <w:rsid w:val="6F73EF16"/>
    <w:rsid w:val="6F7F4012"/>
    <w:rsid w:val="6F8E5618"/>
    <w:rsid w:val="6FF6E493"/>
    <w:rsid w:val="70066198"/>
    <w:rsid w:val="70102BBA"/>
    <w:rsid w:val="70255E74"/>
    <w:rsid w:val="7027053E"/>
    <w:rsid w:val="70327464"/>
    <w:rsid w:val="706011F0"/>
    <w:rsid w:val="70871B57"/>
    <w:rsid w:val="709B24DD"/>
    <w:rsid w:val="70A422CE"/>
    <w:rsid w:val="70B3432A"/>
    <w:rsid w:val="70C26B69"/>
    <w:rsid w:val="70C541DE"/>
    <w:rsid w:val="70D24CC8"/>
    <w:rsid w:val="70E45B9B"/>
    <w:rsid w:val="711E0630"/>
    <w:rsid w:val="71504CF4"/>
    <w:rsid w:val="716272DB"/>
    <w:rsid w:val="71735284"/>
    <w:rsid w:val="71B17D7B"/>
    <w:rsid w:val="71B56675"/>
    <w:rsid w:val="71BE7751"/>
    <w:rsid w:val="71CA2155"/>
    <w:rsid w:val="71E11095"/>
    <w:rsid w:val="71E37953"/>
    <w:rsid w:val="720E0702"/>
    <w:rsid w:val="720FC785"/>
    <w:rsid w:val="725A4AC4"/>
    <w:rsid w:val="72650110"/>
    <w:rsid w:val="72BB306C"/>
    <w:rsid w:val="72CC6540"/>
    <w:rsid w:val="72D33C26"/>
    <w:rsid w:val="7316646B"/>
    <w:rsid w:val="7333619E"/>
    <w:rsid w:val="73364940"/>
    <w:rsid w:val="734C67D6"/>
    <w:rsid w:val="73622B1F"/>
    <w:rsid w:val="736B7447"/>
    <w:rsid w:val="73AE573F"/>
    <w:rsid w:val="73AF588A"/>
    <w:rsid w:val="74213D12"/>
    <w:rsid w:val="7427130E"/>
    <w:rsid w:val="742A0242"/>
    <w:rsid w:val="74411A91"/>
    <w:rsid w:val="74637BC0"/>
    <w:rsid w:val="746F3F0D"/>
    <w:rsid w:val="74837021"/>
    <w:rsid w:val="74856C45"/>
    <w:rsid w:val="748F73C6"/>
    <w:rsid w:val="749F1444"/>
    <w:rsid w:val="74A705C5"/>
    <w:rsid w:val="74CA0232"/>
    <w:rsid w:val="74DF7CCC"/>
    <w:rsid w:val="74E65B3D"/>
    <w:rsid w:val="751751AE"/>
    <w:rsid w:val="75191D2C"/>
    <w:rsid w:val="751E7F07"/>
    <w:rsid w:val="7536514F"/>
    <w:rsid w:val="753E6A8E"/>
    <w:rsid w:val="75485728"/>
    <w:rsid w:val="754B05FA"/>
    <w:rsid w:val="75AA2142"/>
    <w:rsid w:val="75D244DD"/>
    <w:rsid w:val="75E62BD5"/>
    <w:rsid w:val="7602771A"/>
    <w:rsid w:val="7610320B"/>
    <w:rsid w:val="76300A44"/>
    <w:rsid w:val="76507E11"/>
    <w:rsid w:val="76664FF8"/>
    <w:rsid w:val="767FB444"/>
    <w:rsid w:val="7692592C"/>
    <w:rsid w:val="76C12863"/>
    <w:rsid w:val="76C85E20"/>
    <w:rsid w:val="76EE60AE"/>
    <w:rsid w:val="76F0532C"/>
    <w:rsid w:val="77144398"/>
    <w:rsid w:val="774E3CFB"/>
    <w:rsid w:val="775559D4"/>
    <w:rsid w:val="7759374A"/>
    <w:rsid w:val="776706AB"/>
    <w:rsid w:val="777F5890"/>
    <w:rsid w:val="77851538"/>
    <w:rsid w:val="77E525E8"/>
    <w:rsid w:val="77EFB147"/>
    <w:rsid w:val="77FC1B9E"/>
    <w:rsid w:val="78316F67"/>
    <w:rsid w:val="783C7347"/>
    <w:rsid w:val="784611EA"/>
    <w:rsid w:val="784E6EF7"/>
    <w:rsid w:val="78654DF4"/>
    <w:rsid w:val="78742F4F"/>
    <w:rsid w:val="78865862"/>
    <w:rsid w:val="78A16C74"/>
    <w:rsid w:val="78B8382A"/>
    <w:rsid w:val="790540B0"/>
    <w:rsid w:val="79475F35"/>
    <w:rsid w:val="794D1907"/>
    <w:rsid w:val="797263D8"/>
    <w:rsid w:val="797D40A8"/>
    <w:rsid w:val="798D62F5"/>
    <w:rsid w:val="79DDA3AA"/>
    <w:rsid w:val="79F4619A"/>
    <w:rsid w:val="79FE3ED9"/>
    <w:rsid w:val="7A227D2D"/>
    <w:rsid w:val="7A6349CC"/>
    <w:rsid w:val="7A643DE0"/>
    <w:rsid w:val="7A867416"/>
    <w:rsid w:val="7A96034A"/>
    <w:rsid w:val="7AA270E1"/>
    <w:rsid w:val="7AEC944A"/>
    <w:rsid w:val="7B0560D6"/>
    <w:rsid w:val="7B17732F"/>
    <w:rsid w:val="7B6272CF"/>
    <w:rsid w:val="7B7927C3"/>
    <w:rsid w:val="7B8E3AAC"/>
    <w:rsid w:val="7BC106D4"/>
    <w:rsid w:val="7BDB4DFB"/>
    <w:rsid w:val="7BF11B90"/>
    <w:rsid w:val="7C1706D4"/>
    <w:rsid w:val="7C4C6B79"/>
    <w:rsid w:val="7C4F51A4"/>
    <w:rsid w:val="7C5742BE"/>
    <w:rsid w:val="7C6C74D3"/>
    <w:rsid w:val="7C6F36A5"/>
    <w:rsid w:val="7C85051A"/>
    <w:rsid w:val="7C944A57"/>
    <w:rsid w:val="7CAD771F"/>
    <w:rsid w:val="7CC05073"/>
    <w:rsid w:val="7CD82E1A"/>
    <w:rsid w:val="7CDC5AEE"/>
    <w:rsid w:val="7CFD4314"/>
    <w:rsid w:val="7D382604"/>
    <w:rsid w:val="7D572971"/>
    <w:rsid w:val="7D6A54D8"/>
    <w:rsid w:val="7DA74834"/>
    <w:rsid w:val="7DAF57D2"/>
    <w:rsid w:val="7DC44AD8"/>
    <w:rsid w:val="7DD70AB7"/>
    <w:rsid w:val="7DDB53AB"/>
    <w:rsid w:val="7DDE4F94"/>
    <w:rsid w:val="7DE51ACD"/>
    <w:rsid w:val="7DFFF5DE"/>
    <w:rsid w:val="7E5527AE"/>
    <w:rsid w:val="7E76464C"/>
    <w:rsid w:val="7E7E2124"/>
    <w:rsid w:val="7E802ECE"/>
    <w:rsid w:val="7E936454"/>
    <w:rsid w:val="7E9A1BEA"/>
    <w:rsid w:val="7ECA2B92"/>
    <w:rsid w:val="7ED266E3"/>
    <w:rsid w:val="7F0E12EA"/>
    <w:rsid w:val="7F1533AB"/>
    <w:rsid w:val="7F5B65D9"/>
    <w:rsid w:val="7F6016C6"/>
    <w:rsid w:val="7F675F82"/>
    <w:rsid w:val="7F6D0CC4"/>
    <w:rsid w:val="7F796670"/>
    <w:rsid w:val="7F7FF93C"/>
    <w:rsid w:val="7F834B64"/>
    <w:rsid w:val="7FA01B32"/>
    <w:rsid w:val="7FDF80E0"/>
    <w:rsid w:val="7FE751B5"/>
    <w:rsid w:val="7FEF7972"/>
    <w:rsid w:val="7FF84963"/>
    <w:rsid w:val="B7BF20FC"/>
    <w:rsid w:val="B7FFFB83"/>
    <w:rsid w:val="B82DFBF5"/>
    <w:rsid w:val="BBFF5FF3"/>
    <w:rsid w:val="BD47DB96"/>
    <w:rsid w:val="BD7ED03B"/>
    <w:rsid w:val="BDF6D464"/>
    <w:rsid w:val="BE6F031D"/>
    <w:rsid w:val="BFD75EE6"/>
    <w:rsid w:val="BFF36643"/>
    <w:rsid w:val="C7DFD29A"/>
    <w:rsid w:val="D40F4336"/>
    <w:rsid w:val="D56D77E1"/>
    <w:rsid w:val="DBEC8474"/>
    <w:rsid w:val="DC73D880"/>
    <w:rsid w:val="DEB769E9"/>
    <w:rsid w:val="DEDBDE77"/>
    <w:rsid w:val="E3FCDC7F"/>
    <w:rsid w:val="E7D85528"/>
    <w:rsid w:val="EBAB9AF0"/>
    <w:rsid w:val="EBB62BA1"/>
    <w:rsid w:val="EBF7AF55"/>
    <w:rsid w:val="EBFF8940"/>
    <w:rsid w:val="ED2F1392"/>
    <w:rsid w:val="EEBE132E"/>
    <w:rsid w:val="F2FD5675"/>
    <w:rsid w:val="F5FBABBB"/>
    <w:rsid w:val="F5FF6E9E"/>
    <w:rsid w:val="F6CF8A1A"/>
    <w:rsid w:val="F7BFEF29"/>
    <w:rsid w:val="F7CFE2F4"/>
    <w:rsid w:val="F7D0B9FB"/>
    <w:rsid w:val="F7E55EB3"/>
    <w:rsid w:val="F7EF23B3"/>
    <w:rsid w:val="F81F9B06"/>
    <w:rsid w:val="FAB31301"/>
    <w:rsid w:val="FAC75124"/>
    <w:rsid w:val="FB1C6FF8"/>
    <w:rsid w:val="FBEED2C6"/>
    <w:rsid w:val="FBFBFF08"/>
    <w:rsid w:val="FCFFE9C5"/>
    <w:rsid w:val="FD5B12EF"/>
    <w:rsid w:val="FDDB82DC"/>
    <w:rsid w:val="FDF53506"/>
    <w:rsid w:val="FDFE2C99"/>
    <w:rsid w:val="FEF32558"/>
    <w:rsid w:val="FEF85236"/>
    <w:rsid w:val="FF3F6D2D"/>
    <w:rsid w:val="FF4F0939"/>
    <w:rsid w:val="FF4FED2E"/>
    <w:rsid w:val="FF5FDB18"/>
    <w:rsid w:val="FF7508FE"/>
    <w:rsid w:val="FFEB1957"/>
    <w:rsid w:val="FFF5AB6C"/>
    <w:rsid w:val="FFFB2823"/>
    <w:rsid w:val="FFFBCF3B"/>
    <w:rsid w:val="FFFF8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iPriority="99"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9"/>
    <w:pPr>
      <w:keepNext/>
      <w:keepLines/>
      <w:spacing w:before="100" w:line="576" w:lineRule="auto"/>
      <w:outlineLvl w:val="0"/>
    </w:pPr>
    <w:rPr>
      <w:b/>
      <w:kern w:val="44"/>
      <w:sz w:val="44"/>
    </w:rPr>
  </w:style>
  <w:style w:type="paragraph" w:styleId="3">
    <w:name w:val="heading 2"/>
    <w:basedOn w:val="1"/>
    <w:next w:val="4"/>
    <w:link w:val="6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64"/>
    <w:qFormat/>
    <w:uiPriority w:val="9"/>
    <w:pPr>
      <w:keepNext/>
      <w:keepLines/>
      <w:spacing w:before="260" w:after="260" w:line="416" w:lineRule="auto"/>
      <w:outlineLvl w:val="2"/>
    </w:pPr>
    <w:rPr>
      <w:b/>
      <w:bCs/>
      <w:sz w:val="32"/>
      <w:szCs w:val="32"/>
    </w:rPr>
  </w:style>
  <w:style w:type="paragraph" w:styleId="6">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6"/>
    <w:qFormat/>
    <w:uiPriority w:val="0"/>
    <w:pPr>
      <w:keepNext/>
      <w:keepLines/>
      <w:adjustRightInd w:val="0"/>
      <w:spacing w:before="280" w:after="290" w:line="376" w:lineRule="atLeast"/>
      <w:textAlignment w:val="baseline"/>
      <w:outlineLvl w:val="4"/>
    </w:pPr>
    <w:rPr>
      <w:rFonts w:ascii="宋体"/>
      <w:b/>
      <w:kern w:val="0"/>
      <w:sz w:val="28"/>
      <w:szCs w:val="20"/>
    </w:rPr>
  </w:style>
  <w:style w:type="paragraph" w:styleId="8">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qFormat/>
    <w:uiPriority w:val="0"/>
    <w:pPr>
      <w:keepNext/>
      <w:keepLines/>
      <w:adjustRightInd w:val="0"/>
      <w:spacing w:before="240" w:after="64" w:line="320" w:lineRule="atLeast"/>
      <w:textAlignment w:val="baseline"/>
      <w:outlineLvl w:val="6"/>
    </w:pPr>
    <w:rPr>
      <w:rFonts w:ascii="宋体"/>
      <w:b/>
      <w:kern w:val="0"/>
      <w:sz w:val="24"/>
      <w:szCs w:val="20"/>
    </w:rPr>
  </w:style>
  <w:style w:type="paragraph" w:styleId="10">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 w:val="34"/>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4">
    <w:name w:val="正文缩进3"/>
    <w:basedOn w:val="1"/>
    <w:qFormat/>
    <w:uiPriority w:val="0"/>
    <w:pPr>
      <w:ind w:firstLine="420"/>
    </w:pPr>
  </w:style>
  <w:style w:type="paragraph" w:styleId="12">
    <w:name w:val="toc 7"/>
    <w:basedOn w:val="1"/>
    <w:next w:val="1"/>
    <w:qFormat/>
    <w:uiPriority w:val="0"/>
    <w:pPr>
      <w:ind w:left="2520" w:leftChars="1200"/>
    </w:pPr>
    <w:rPr>
      <w:rFonts w:ascii="宋体"/>
      <w:kern w:val="0"/>
      <w:sz w:val="34"/>
      <w:szCs w:val="20"/>
    </w:rPr>
  </w:style>
  <w:style w:type="paragraph" w:styleId="13">
    <w:name w:val="Normal Indent"/>
    <w:basedOn w:val="1"/>
    <w:next w:val="1"/>
    <w:link w:val="71"/>
    <w:qFormat/>
    <w:uiPriority w:val="0"/>
    <w:pPr>
      <w:ind w:firstLine="420"/>
    </w:pPr>
    <w:rPr>
      <w:szCs w:val="20"/>
    </w:rPr>
  </w:style>
  <w:style w:type="paragraph" w:styleId="14">
    <w:name w:val="List Bullet"/>
    <w:basedOn w:val="1"/>
    <w:qFormat/>
    <w:uiPriority w:val="0"/>
    <w:pPr>
      <w:numPr>
        <w:ilvl w:val="0"/>
        <w:numId w:val="1"/>
      </w:numPr>
      <w:contextualSpacing/>
    </w:pPr>
  </w:style>
  <w:style w:type="paragraph" w:styleId="15">
    <w:name w:val="Document Map"/>
    <w:basedOn w:val="1"/>
    <w:link w:val="72"/>
    <w:qFormat/>
    <w:uiPriority w:val="0"/>
    <w:rPr>
      <w:rFonts w:ascii="宋体"/>
      <w:kern w:val="0"/>
      <w:sz w:val="18"/>
      <w:szCs w:val="18"/>
    </w:rPr>
  </w:style>
  <w:style w:type="paragraph" w:styleId="16">
    <w:name w:val="annotation text"/>
    <w:basedOn w:val="1"/>
    <w:link w:val="73"/>
    <w:qFormat/>
    <w:uiPriority w:val="0"/>
    <w:pPr>
      <w:jc w:val="left"/>
    </w:pPr>
  </w:style>
  <w:style w:type="paragraph" w:styleId="17">
    <w:name w:val="Salutation"/>
    <w:basedOn w:val="1"/>
    <w:next w:val="1"/>
    <w:link w:val="74"/>
    <w:qFormat/>
    <w:uiPriority w:val="0"/>
    <w:rPr>
      <w:rFonts w:ascii="宋体" w:hAnsi="宋体"/>
      <w:color w:val="000000"/>
      <w:kern w:val="0"/>
      <w:sz w:val="28"/>
      <w:szCs w:val="28"/>
    </w:rPr>
  </w:style>
  <w:style w:type="paragraph" w:styleId="18">
    <w:name w:val="Body Text 3"/>
    <w:basedOn w:val="1"/>
    <w:link w:val="75"/>
    <w:qFormat/>
    <w:uiPriority w:val="0"/>
    <w:pPr>
      <w:spacing w:line="500" w:lineRule="exact"/>
    </w:pPr>
    <w:rPr>
      <w:rFonts w:ascii="宋体"/>
      <w:b/>
      <w:bCs/>
      <w:kern w:val="0"/>
      <w:sz w:val="24"/>
    </w:rPr>
  </w:style>
  <w:style w:type="paragraph" w:styleId="19">
    <w:name w:val="Closing"/>
    <w:basedOn w:val="1"/>
    <w:link w:val="76"/>
    <w:qFormat/>
    <w:uiPriority w:val="0"/>
    <w:pPr>
      <w:ind w:left="100" w:leftChars="2100"/>
    </w:pPr>
    <w:rPr>
      <w:rFonts w:ascii="宋体" w:hAnsi="宋体"/>
      <w:color w:val="000000"/>
      <w:kern w:val="0"/>
      <w:sz w:val="28"/>
      <w:szCs w:val="28"/>
    </w:rPr>
  </w:style>
  <w:style w:type="paragraph" w:styleId="20">
    <w:name w:val="List Bullet 3"/>
    <w:basedOn w:val="1"/>
    <w:qFormat/>
    <w:uiPriority w:val="0"/>
    <w:pPr>
      <w:numPr>
        <w:ilvl w:val="0"/>
        <w:numId w:val="2"/>
      </w:numPr>
      <w:tabs>
        <w:tab w:val="left" w:pos="1620"/>
      </w:tabs>
    </w:pPr>
    <w:rPr>
      <w:rFonts w:ascii="宋体"/>
      <w:kern w:val="0"/>
      <w:sz w:val="34"/>
    </w:rPr>
  </w:style>
  <w:style w:type="paragraph" w:styleId="21">
    <w:name w:val="Body Text"/>
    <w:basedOn w:val="1"/>
    <w:next w:val="1"/>
    <w:link w:val="61"/>
    <w:qFormat/>
    <w:uiPriority w:val="99"/>
    <w:pPr>
      <w:spacing w:after="120"/>
    </w:pPr>
  </w:style>
  <w:style w:type="paragraph" w:styleId="22">
    <w:name w:val="Body Text Indent"/>
    <w:basedOn w:val="1"/>
    <w:link w:val="77"/>
    <w:qFormat/>
    <w:uiPriority w:val="0"/>
    <w:pPr>
      <w:ind w:firstLine="795"/>
    </w:pPr>
    <w:rPr>
      <w:sz w:val="32"/>
      <w:szCs w:val="20"/>
    </w:rPr>
  </w:style>
  <w:style w:type="paragraph" w:styleId="23">
    <w:name w:val="Block Text"/>
    <w:basedOn w:val="1"/>
    <w:qFormat/>
    <w:uiPriority w:val="0"/>
    <w:pPr>
      <w:spacing w:line="400" w:lineRule="exact"/>
      <w:ind w:left="-359" w:leftChars="-171" w:right="-687" w:rightChars="-327" w:firstLine="720"/>
    </w:pPr>
    <w:rPr>
      <w:rFonts w:ascii="宋体" w:hAnsi="宋体"/>
      <w:kern w:val="0"/>
      <w:sz w:val="28"/>
    </w:rPr>
  </w:style>
  <w:style w:type="paragraph" w:styleId="24">
    <w:name w:val="List Bullet 2"/>
    <w:basedOn w:val="1"/>
    <w:qFormat/>
    <w:uiPriority w:val="0"/>
    <w:pPr>
      <w:numPr>
        <w:ilvl w:val="0"/>
        <w:numId w:val="3"/>
      </w:numPr>
      <w:tabs>
        <w:tab w:val="left" w:pos="1140"/>
      </w:tabs>
    </w:pPr>
    <w:rPr>
      <w:rFonts w:ascii="宋体"/>
      <w:kern w:val="0"/>
      <w:sz w:val="34"/>
    </w:rPr>
  </w:style>
  <w:style w:type="paragraph" w:styleId="25">
    <w:name w:val="toc 5"/>
    <w:basedOn w:val="1"/>
    <w:next w:val="1"/>
    <w:qFormat/>
    <w:uiPriority w:val="0"/>
    <w:pPr>
      <w:ind w:left="1680" w:leftChars="800"/>
    </w:pPr>
    <w:rPr>
      <w:rFonts w:ascii="宋体"/>
      <w:kern w:val="0"/>
      <w:sz w:val="34"/>
      <w:szCs w:val="20"/>
    </w:rPr>
  </w:style>
  <w:style w:type="paragraph" w:styleId="26">
    <w:name w:val="toc 3"/>
    <w:basedOn w:val="1"/>
    <w:next w:val="1"/>
    <w:qFormat/>
    <w:uiPriority w:val="39"/>
    <w:pPr>
      <w:ind w:left="840" w:leftChars="400"/>
    </w:pPr>
    <w:rPr>
      <w:rFonts w:ascii="宋体"/>
      <w:kern w:val="0"/>
      <w:sz w:val="34"/>
      <w:szCs w:val="20"/>
    </w:rPr>
  </w:style>
  <w:style w:type="paragraph" w:styleId="27">
    <w:name w:val="Plain Text"/>
    <w:basedOn w:val="1"/>
    <w:link w:val="78"/>
    <w:qFormat/>
    <w:uiPriority w:val="0"/>
    <w:pPr>
      <w:spacing w:line="360" w:lineRule="auto"/>
    </w:pPr>
    <w:rPr>
      <w:rFonts w:ascii="宋体" w:hAnsi="Courier New"/>
      <w:sz w:val="24"/>
      <w:szCs w:val="20"/>
    </w:rPr>
  </w:style>
  <w:style w:type="paragraph" w:styleId="28">
    <w:name w:val="toc 8"/>
    <w:basedOn w:val="1"/>
    <w:next w:val="1"/>
    <w:qFormat/>
    <w:uiPriority w:val="0"/>
    <w:pPr>
      <w:ind w:left="2940" w:leftChars="1400"/>
    </w:pPr>
    <w:rPr>
      <w:rFonts w:ascii="宋体"/>
      <w:kern w:val="0"/>
      <w:sz w:val="34"/>
      <w:szCs w:val="20"/>
    </w:rPr>
  </w:style>
  <w:style w:type="paragraph" w:styleId="29">
    <w:name w:val="Date"/>
    <w:basedOn w:val="1"/>
    <w:next w:val="1"/>
    <w:link w:val="79"/>
    <w:qFormat/>
    <w:uiPriority w:val="0"/>
    <w:rPr>
      <w:rFonts w:eastAsia="楷体"/>
      <w:sz w:val="32"/>
      <w:szCs w:val="20"/>
    </w:rPr>
  </w:style>
  <w:style w:type="paragraph" w:styleId="30">
    <w:name w:val="Body Text Indent 2"/>
    <w:basedOn w:val="1"/>
    <w:link w:val="80"/>
    <w:qFormat/>
    <w:uiPriority w:val="0"/>
    <w:pPr>
      <w:ind w:left="105" w:firstLine="690"/>
    </w:pPr>
    <w:rPr>
      <w:rFonts w:ascii="宋体"/>
      <w:kern w:val="0"/>
      <w:sz w:val="32"/>
      <w:szCs w:val="20"/>
    </w:rPr>
  </w:style>
  <w:style w:type="paragraph" w:styleId="31">
    <w:name w:val="Balloon Text"/>
    <w:basedOn w:val="1"/>
    <w:link w:val="81"/>
    <w:qFormat/>
    <w:uiPriority w:val="0"/>
    <w:rPr>
      <w:rFonts w:ascii="宋体"/>
      <w:kern w:val="0"/>
      <w:sz w:val="18"/>
      <w:szCs w:val="18"/>
    </w:rPr>
  </w:style>
  <w:style w:type="paragraph" w:styleId="32">
    <w:name w:val="footer"/>
    <w:basedOn w:val="1"/>
    <w:link w:val="82"/>
    <w:qFormat/>
    <w:uiPriority w:val="99"/>
    <w:pPr>
      <w:tabs>
        <w:tab w:val="center" w:pos="4153"/>
        <w:tab w:val="right" w:pos="8306"/>
      </w:tabs>
      <w:snapToGrid w:val="0"/>
      <w:jc w:val="left"/>
    </w:pPr>
    <w:rPr>
      <w:sz w:val="18"/>
      <w:szCs w:val="18"/>
    </w:rPr>
  </w:style>
  <w:style w:type="paragraph" w:styleId="33">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rPr>
      <w:rFonts w:ascii="宋体"/>
      <w:kern w:val="0"/>
      <w:sz w:val="34"/>
      <w:szCs w:val="20"/>
    </w:rPr>
  </w:style>
  <w:style w:type="paragraph" w:styleId="35">
    <w:name w:val="toc 4"/>
    <w:basedOn w:val="1"/>
    <w:next w:val="1"/>
    <w:qFormat/>
    <w:uiPriority w:val="0"/>
    <w:pPr>
      <w:ind w:left="1260" w:leftChars="600"/>
    </w:pPr>
    <w:rPr>
      <w:rFonts w:ascii="宋体"/>
      <w:kern w:val="0"/>
      <w:sz w:val="34"/>
      <w:szCs w:val="20"/>
    </w:rPr>
  </w:style>
  <w:style w:type="paragraph" w:styleId="36">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37">
    <w:name w:val="footnote text"/>
    <w:basedOn w:val="1"/>
    <w:link w:val="84"/>
    <w:unhideWhenUsed/>
    <w:qFormat/>
    <w:uiPriority w:val="99"/>
    <w:pPr>
      <w:snapToGrid w:val="0"/>
      <w:jc w:val="left"/>
    </w:pPr>
    <w:rPr>
      <w:kern w:val="0"/>
      <w:sz w:val="18"/>
      <w:szCs w:val="18"/>
    </w:rPr>
  </w:style>
  <w:style w:type="paragraph" w:styleId="38">
    <w:name w:val="toc 6"/>
    <w:basedOn w:val="1"/>
    <w:next w:val="1"/>
    <w:qFormat/>
    <w:uiPriority w:val="0"/>
    <w:pPr>
      <w:ind w:left="2100" w:leftChars="1000"/>
    </w:pPr>
    <w:rPr>
      <w:rFonts w:ascii="宋体"/>
      <w:kern w:val="0"/>
      <w:sz w:val="34"/>
      <w:szCs w:val="20"/>
    </w:rPr>
  </w:style>
  <w:style w:type="paragraph" w:styleId="39">
    <w:name w:val="Body Text Indent 3"/>
    <w:basedOn w:val="1"/>
    <w:link w:val="85"/>
    <w:qFormat/>
    <w:uiPriority w:val="0"/>
    <w:pPr>
      <w:adjustRightInd w:val="0"/>
      <w:spacing w:line="360" w:lineRule="auto"/>
      <w:ind w:left="960"/>
      <w:jc w:val="left"/>
      <w:textAlignment w:val="baseline"/>
    </w:pPr>
    <w:rPr>
      <w:rFonts w:ascii="宋体" w:eastAsia="楷体"/>
      <w:kern w:val="0"/>
      <w:sz w:val="24"/>
      <w:szCs w:val="20"/>
    </w:rPr>
  </w:style>
  <w:style w:type="paragraph" w:styleId="40">
    <w:name w:val="toc 2"/>
    <w:basedOn w:val="1"/>
    <w:next w:val="1"/>
    <w:qFormat/>
    <w:uiPriority w:val="39"/>
    <w:pPr>
      <w:ind w:left="420" w:leftChars="200"/>
    </w:pPr>
    <w:rPr>
      <w:rFonts w:ascii="宋体"/>
      <w:kern w:val="0"/>
      <w:sz w:val="34"/>
      <w:szCs w:val="20"/>
    </w:rPr>
  </w:style>
  <w:style w:type="paragraph" w:styleId="41">
    <w:name w:val="toc 9"/>
    <w:basedOn w:val="1"/>
    <w:next w:val="1"/>
    <w:qFormat/>
    <w:uiPriority w:val="0"/>
    <w:pPr>
      <w:ind w:left="3360" w:leftChars="1600"/>
    </w:pPr>
    <w:rPr>
      <w:rFonts w:ascii="宋体"/>
      <w:kern w:val="0"/>
      <w:sz w:val="34"/>
      <w:szCs w:val="20"/>
    </w:rPr>
  </w:style>
  <w:style w:type="paragraph" w:styleId="42">
    <w:name w:val="Body Text 2"/>
    <w:basedOn w:val="1"/>
    <w:link w:val="86"/>
    <w:qFormat/>
    <w:uiPriority w:val="0"/>
    <w:pPr>
      <w:spacing w:after="120" w:line="480" w:lineRule="auto"/>
    </w:pPr>
    <w:rPr>
      <w:rFonts w:ascii="宋体"/>
      <w:kern w:val="0"/>
      <w:sz w:val="34"/>
    </w:rPr>
  </w:style>
  <w:style w:type="paragraph" w:styleId="43">
    <w:name w:val="Normal (Web)"/>
    <w:basedOn w:val="1"/>
    <w:link w:val="87"/>
    <w:qFormat/>
    <w:uiPriority w:val="0"/>
    <w:pPr>
      <w:widowControl/>
      <w:spacing w:before="100" w:beforeAutospacing="1" w:after="100" w:afterAutospacing="1" w:line="408" w:lineRule="auto"/>
      <w:jc w:val="left"/>
    </w:pPr>
    <w:rPr>
      <w:rFonts w:ascii="Arial" w:hAnsi="Arial"/>
      <w:kern w:val="0"/>
      <w:sz w:val="18"/>
      <w:szCs w:val="18"/>
    </w:rPr>
  </w:style>
  <w:style w:type="paragraph" w:styleId="44">
    <w:name w:val="Title"/>
    <w:basedOn w:val="1"/>
    <w:next w:val="1"/>
    <w:link w:val="88"/>
    <w:qFormat/>
    <w:uiPriority w:val="0"/>
    <w:pPr>
      <w:jc w:val="center"/>
    </w:pPr>
    <w:rPr>
      <w:rFonts w:ascii="宋体"/>
      <w:kern w:val="0"/>
      <w:sz w:val="30"/>
    </w:rPr>
  </w:style>
  <w:style w:type="paragraph" w:styleId="45">
    <w:name w:val="annotation subject"/>
    <w:basedOn w:val="16"/>
    <w:next w:val="16"/>
    <w:link w:val="89"/>
    <w:unhideWhenUsed/>
    <w:qFormat/>
    <w:uiPriority w:val="0"/>
    <w:rPr>
      <w:rFonts w:ascii="宋体"/>
      <w:kern w:val="0"/>
      <w:szCs w:val="20"/>
    </w:rPr>
  </w:style>
  <w:style w:type="paragraph" w:styleId="46">
    <w:name w:val="Body Text First Indent"/>
    <w:basedOn w:val="21"/>
    <w:link w:val="90"/>
    <w:qFormat/>
    <w:uiPriority w:val="0"/>
    <w:pPr>
      <w:ind w:firstLine="420" w:firstLineChars="100"/>
    </w:pPr>
    <w:rPr>
      <w:rFonts w:ascii="宋体"/>
      <w:sz w:val="3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qFormat/>
    <w:uiPriority w:val="0"/>
    <w:rPr>
      <w:rFonts w:ascii="宋体"/>
      <w:kern w:val="0"/>
      <w:sz w:val="34"/>
    </w:rPr>
  </w:style>
  <w:style w:type="character" w:styleId="52">
    <w:name w:val="FollowedHyperlink"/>
    <w:qFormat/>
    <w:uiPriority w:val="0"/>
    <w:rPr>
      <w:rFonts w:ascii="宋体"/>
      <w:color w:val="333333"/>
      <w:kern w:val="0"/>
      <w:sz w:val="34"/>
      <w:u w:val="none"/>
    </w:rPr>
  </w:style>
  <w:style w:type="character" w:styleId="53">
    <w:name w:val="Emphasis"/>
    <w:qFormat/>
    <w:uiPriority w:val="20"/>
    <w:rPr>
      <w:rFonts w:ascii="宋体"/>
      <w:kern w:val="0"/>
      <w:sz w:val="34"/>
    </w:rPr>
  </w:style>
  <w:style w:type="character" w:styleId="54">
    <w:name w:val="HTML Definition"/>
    <w:unhideWhenUsed/>
    <w:qFormat/>
    <w:uiPriority w:val="99"/>
    <w:rPr>
      <w:rFonts w:ascii="宋体"/>
      <w:kern w:val="0"/>
      <w:sz w:val="34"/>
    </w:rPr>
  </w:style>
  <w:style w:type="character" w:styleId="55">
    <w:name w:val="HTML Variable"/>
    <w:unhideWhenUsed/>
    <w:qFormat/>
    <w:uiPriority w:val="99"/>
    <w:rPr>
      <w:rFonts w:ascii="宋体"/>
      <w:kern w:val="0"/>
      <w:sz w:val="34"/>
    </w:rPr>
  </w:style>
  <w:style w:type="character" w:styleId="56">
    <w:name w:val="Hyperlink"/>
    <w:qFormat/>
    <w:uiPriority w:val="99"/>
    <w:rPr>
      <w:rFonts w:ascii="宋体"/>
      <w:color w:val="333333"/>
      <w:kern w:val="0"/>
      <w:sz w:val="34"/>
      <w:u w:val="none"/>
    </w:rPr>
  </w:style>
  <w:style w:type="character" w:styleId="57">
    <w:name w:val="HTML Code"/>
    <w:unhideWhenUsed/>
    <w:qFormat/>
    <w:uiPriority w:val="99"/>
    <w:rPr>
      <w:rFonts w:ascii="Courier New" w:hAnsi="Courier New"/>
      <w:kern w:val="0"/>
      <w:sz w:val="20"/>
    </w:rPr>
  </w:style>
  <w:style w:type="character" w:styleId="58">
    <w:name w:val="annotation reference"/>
    <w:qFormat/>
    <w:uiPriority w:val="0"/>
    <w:rPr>
      <w:sz w:val="21"/>
    </w:rPr>
  </w:style>
  <w:style w:type="character" w:styleId="59">
    <w:name w:val="HTML Cite"/>
    <w:unhideWhenUsed/>
    <w:qFormat/>
    <w:uiPriority w:val="99"/>
    <w:rPr>
      <w:rFonts w:ascii="宋体"/>
      <w:kern w:val="0"/>
      <w:sz w:val="34"/>
    </w:rPr>
  </w:style>
  <w:style w:type="character" w:styleId="60">
    <w:name w:val="footnote reference"/>
    <w:unhideWhenUsed/>
    <w:qFormat/>
    <w:uiPriority w:val="99"/>
    <w:rPr>
      <w:vertAlign w:val="superscript"/>
    </w:rPr>
  </w:style>
  <w:style w:type="character" w:customStyle="1" w:styleId="61">
    <w:name w:val="正文文本 字符"/>
    <w:link w:val="21"/>
    <w:qFormat/>
    <w:uiPriority w:val="99"/>
    <w:rPr>
      <w:kern w:val="2"/>
      <w:sz w:val="21"/>
      <w:szCs w:val="24"/>
    </w:rPr>
  </w:style>
  <w:style w:type="character" w:customStyle="1" w:styleId="62">
    <w:name w:val="标题 1 字符"/>
    <w:link w:val="2"/>
    <w:qFormat/>
    <w:uiPriority w:val="9"/>
    <w:rPr>
      <w:b/>
      <w:kern w:val="44"/>
      <w:sz w:val="44"/>
      <w:szCs w:val="24"/>
    </w:rPr>
  </w:style>
  <w:style w:type="character" w:customStyle="1" w:styleId="63">
    <w:name w:val="标题 2 字符"/>
    <w:link w:val="3"/>
    <w:qFormat/>
    <w:uiPriority w:val="0"/>
    <w:rPr>
      <w:rFonts w:ascii="Cambria" w:hAnsi="Cambria" w:eastAsia="宋体" w:cs="Times New Roman"/>
      <w:b/>
      <w:bCs/>
      <w:kern w:val="2"/>
      <w:sz w:val="32"/>
      <w:szCs w:val="32"/>
    </w:rPr>
  </w:style>
  <w:style w:type="character" w:customStyle="1" w:styleId="64">
    <w:name w:val="标题 3 字符"/>
    <w:link w:val="5"/>
    <w:qFormat/>
    <w:uiPriority w:val="9"/>
    <w:rPr>
      <w:b/>
      <w:bCs/>
      <w:kern w:val="2"/>
      <w:sz w:val="32"/>
      <w:szCs w:val="32"/>
    </w:rPr>
  </w:style>
  <w:style w:type="character" w:customStyle="1" w:styleId="65">
    <w:name w:val="标题 4 字符"/>
    <w:link w:val="6"/>
    <w:qFormat/>
    <w:uiPriority w:val="0"/>
    <w:rPr>
      <w:rFonts w:ascii="Arial" w:hAnsi="Arial" w:eastAsia="黑体"/>
      <w:b/>
      <w:sz w:val="28"/>
    </w:rPr>
  </w:style>
  <w:style w:type="character" w:customStyle="1" w:styleId="66">
    <w:name w:val="标题 5 字符"/>
    <w:link w:val="7"/>
    <w:qFormat/>
    <w:uiPriority w:val="0"/>
    <w:rPr>
      <w:rFonts w:ascii="宋体" w:hAnsi="Times New Roman"/>
      <w:b/>
      <w:sz w:val="28"/>
    </w:rPr>
  </w:style>
  <w:style w:type="character" w:customStyle="1" w:styleId="67">
    <w:name w:val="标题 6 字符"/>
    <w:link w:val="8"/>
    <w:qFormat/>
    <w:uiPriority w:val="0"/>
    <w:rPr>
      <w:rFonts w:ascii="Arial" w:hAnsi="Arial" w:eastAsia="黑体"/>
      <w:b/>
      <w:sz w:val="24"/>
    </w:rPr>
  </w:style>
  <w:style w:type="character" w:customStyle="1" w:styleId="68">
    <w:name w:val="标题 7 字符"/>
    <w:link w:val="9"/>
    <w:qFormat/>
    <w:uiPriority w:val="0"/>
    <w:rPr>
      <w:rFonts w:ascii="宋体" w:hAnsi="Times New Roman"/>
      <w:b/>
      <w:sz w:val="24"/>
    </w:rPr>
  </w:style>
  <w:style w:type="character" w:customStyle="1" w:styleId="69">
    <w:name w:val="标题 8 字符"/>
    <w:link w:val="10"/>
    <w:qFormat/>
    <w:uiPriority w:val="0"/>
    <w:rPr>
      <w:rFonts w:ascii="Arial" w:hAnsi="Arial" w:eastAsia="黑体"/>
      <w:sz w:val="24"/>
    </w:rPr>
  </w:style>
  <w:style w:type="character" w:customStyle="1" w:styleId="70">
    <w:name w:val="标题 9 字符"/>
    <w:link w:val="11"/>
    <w:qFormat/>
    <w:uiPriority w:val="0"/>
    <w:rPr>
      <w:rFonts w:ascii="Arial" w:hAnsi="Arial" w:eastAsia="黑体"/>
      <w:sz w:val="34"/>
    </w:rPr>
  </w:style>
  <w:style w:type="character" w:customStyle="1" w:styleId="71">
    <w:name w:val="正文缩进 字符"/>
    <w:link w:val="13"/>
    <w:qFormat/>
    <w:uiPriority w:val="0"/>
    <w:rPr>
      <w:kern w:val="2"/>
      <w:sz w:val="21"/>
    </w:rPr>
  </w:style>
  <w:style w:type="character" w:customStyle="1" w:styleId="72">
    <w:name w:val="文档结构图 字符"/>
    <w:link w:val="15"/>
    <w:qFormat/>
    <w:uiPriority w:val="0"/>
    <w:rPr>
      <w:rFonts w:ascii="宋体" w:hAnsi="Times New Roman"/>
      <w:sz w:val="18"/>
      <w:szCs w:val="18"/>
    </w:rPr>
  </w:style>
  <w:style w:type="character" w:customStyle="1" w:styleId="73">
    <w:name w:val="批注文字 字符"/>
    <w:link w:val="16"/>
    <w:qFormat/>
    <w:uiPriority w:val="0"/>
    <w:rPr>
      <w:kern w:val="2"/>
      <w:sz w:val="21"/>
      <w:szCs w:val="24"/>
    </w:rPr>
  </w:style>
  <w:style w:type="character" w:customStyle="1" w:styleId="74">
    <w:name w:val="称呼 字符"/>
    <w:link w:val="17"/>
    <w:qFormat/>
    <w:uiPriority w:val="0"/>
    <w:rPr>
      <w:rFonts w:ascii="宋体" w:hAnsi="宋体" w:cs="宋体"/>
      <w:color w:val="000000"/>
      <w:sz w:val="28"/>
      <w:szCs w:val="28"/>
    </w:rPr>
  </w:style>
  <w:style w:type="character" w:customStyle="1" w:styleId="75">
    <w:name w:val="正文文本 3 字符"/>
    <w:link w:val="18"/>
    <w:qFormat/>
    <w:uiPriority w:val="0"/>
    <w:rPr>
      <w:rFonts w:ascii="宋体" w:hAnsi="Times New Roman"/>
      <w:b/>
      <w:bCs/>
      <w:sz w:val="24"/>
      <w:szCs w:val="24"/>
    </w:rPr>
  </w:style>
  <w:style w:type="character" w:customStyle="1" w:styleId="76">
    <w:name w:val="结束语 字符"/>
    <w:link w:val="19"/>
    <w:qFormat/>
    <w:uiPriority w:val="0"/>
    <w:rPr>
      <w:rFonts w:ascii="宋体" w:hAnsi="宋体" w:cs="宋体"/>
      <w:color w:val="000000"/>
      <w:sz w:val="28"/>
      <w:szCs w:val="28"/>
    </w:rPr>
  </w:style>
  <w:style w:type="character" w:customStyle="1" w:styleId="77">
    <w:name w:val="正文文本缩进 字符"/>
    <w:link w:val="22"/>
    <w:qFormat/>
    <w:uiPriority w:val="0"/>
    <w:rPr>
      <w:kern w:val="2"/>
      <w:sz w:val="32"/>
    </w:rPr>
  </w:style>
  <w:style w:type="character" w:customStyle="1" w:styleId="78">
    <w:name w:val="纯文本 字符"/>
    <w:link w:val="27"/>
    <w:qFormat/>
    <w:uiPriority w:val="0"/>
    <w:rPr>
      <w:rFonts w:ascii="宋体" w:hAnsi="Courier New"/>
      <w:kern w:val="2"/>
      <w:sz w:val="24"/>
    </w:rPr>
  </w:style>
  <w:style w:type="character" w:customStyle="1" w:styleId="79">
    <w:name w:val="日期 字符"/>
    <w:link w:val="29"/>
    <w:qFormat/>
    <w:uiPriority w:val="0"/>
    <w:rPr>
      <w:rFonts w:eastAsia="楷体"/>
      <w:kern w:val="2"/>
      <w:sz w:val="32"/>
    </w:rPr>
  </w:style>
  <w:style w:type="character" w:customStyle="1" w:styleId="80">
    <w:name w:val="正文文本缩进 2 字符"/>
    <w:link w:val="30"/>
    <w:qFormat/>
    <w:uiPriority w:val="0"/>
    <w:rPr>
      <w:rFonts w:ascii="宋体" w:hAnsi="Times New Roman"/>
      <w:sz w:val="32"/>
    </w:rPr>
  </w:style>
  <w:style w:type="character" w:customStyle="1" w:styleId="81">
    <w:name w:val="批注框文本 字符"/>
    <w:link w:val="31"/>
    <w:qFormat/>
    <w:uiPriority w:val="0"/>
    <w:rPr>
      <w:rFonts w:ascii="宋体" w:hAnsi="Times New Roman"/>
      <w:sz w:val="18"/>
      <w:szCs w:val="18"/>
    </w:rPr>
  </w:style>
  <w:style w:type="character" w:customStyle="1" w:styleId="82">
    <w:name w:val="页脚 字符"/>
    <w:link w:val="32"/>
    <w:qFormat/>
    <w:uiPriority w:val="99"/>
    <w:rPr>
      <w:kern w:val="2"/>
      <w:sz w:val="18"/>
      <w:szCs w:val="18"/>
    </w:rPr>
  </w:style>
  <w:style w:type="character" w:customStyle="1" w:styleId="83">
    <w:name w:val="页眉 字符"/>
    <w:link w:val="33"/>
    <w:qFormat/>
    <w:uiPriority w:val="99"/>
    <w:rPr>
      <w:kern w:val="2"/>
      <w:sz w:val="18"/>
      <w:szCs w:val="18"/>
    </w:rPr>
  </w:style>
  <w:style w:type="character" w:customStyle="1" w:styleId="84">
    <w:name w:val="脚注文本 字符"/>
    <w:link w:val="37"/>
    <w:qFormat/>
    <w:uiPriority w:val="99"/>
    <w:rPr>
      <w:sz w:val="18"/>
      <w:szCs w:val="18"/>
    </w:rPr>
  </w:style>
  <w:style w:type="character" w:customStyle="1" w:styleId="85">
    <w:name w:val="正文文本缩进 3 字符"/>
    <w:link w:val="39"/>
    <w:qFormat/>
    <w:uiPriority w:val="0"/>
    <w:rPr>
      <w:rFonts w:ascii="宋体" w:hAnsi="Times New Roman" w:eastAsia="楷体"/>
      <w:sz w:val="24"/>
    </w:rPr>
  </w:style>
  <w:style w:type="character" w:customStyle="1" w:styleId="86">
    <w:name w:val="正文文本 2 字符"/>
    <w:link w:val="42"/>
    <w:qFormat/>
    <w:uiPriority w:val="0"/>
    <w:rPr>
      <w:rFonts w:ascii="宋体" w:hAnsi="Times New Roman"/>
      <w:sz w:val="34"/>
      <w:szCs w:val="24"/>
    </w:rPr>
  </w:style>
  <w:style w:type="character" w:customStyle="1" w:styleId="87">
    <w:name w:val="普通(网站) 字符"/>
    <w:link w:val="43"/>
    <w:qFormat/>
    <w:uiPriority w:val="0"/>
    <w:rPr>
      <w:rFonts w:ascii="Arial" w:hAnsi="Arial" w:cs="Arial"/>
      <w:sz w:val="18"/>
      <w:szCs w:val="18"/>
    </w:rPr>
  </w:style>
  <w:style w:type="character" w:customStyle="1" w:styleId="88">
    <w:name w:val="标题 字符"/>
    <w:link w:val="44"/>
    <w:qFormat/>
    <w:uiPriority w:val="0"/>
    <w:rPr>
      <w:rFonts w:ascii="宋体" w:hAnsi="Times New Roman"/>
      <w:sz w:val="30"/>
      <w:szCs w:val="24"/>
    </w:rPr>
  </w:style>
  <w:style w:type="character" w:customStyle="1" w:styleId="89">
    <w:name w:val="批注主题 字符"/>
    <w:link w:val="45"/>
    <w:qFormat/>
    <w:uiPriority w:val="0"/>
    <w:rPr>
      <w:rFonts w:ascii="宋体"/>
      <w:kern w:val="0"/>
      <w:sz w:val="21"/>
    </w:rPr>
  </w:style>
  <w:style w:type="character" w:customStyle="1" w:styleId="90">
    <w:name w:val="正文文本首行缩进 字符"/>
    <w:link w:val="46"/>
    <w:qFormat/>
    <w:uiPriority w:val="0"/>
    <w:rPr>
      <w:rFonts w:ascii="宋体" w:hAnsi="Times New Roman"/>
      <w:kern w:val="2"/>
      <w:sz w:val="34"/>
      <w:szCs w:val="24"/>
    </w:rPr>
  </w:style>
  <w:style w:type="character" w:customStyle="1" w:styleId="91">
    <w:name w:val="Char Char2"/>
    <w:qFormat/>
    <w:uiPriority w:val="0"/>
    <w:rPr>
      <w:kern w:val="2"/>
      <w:sz w:val="18"/>
      <w:szCs w:val="18"/>
    </w:rPr>
  </w:style>
  <w:style w:type="character" w:customStyle="1" w:styleId="92">
    <w:name w:val="maywed421"/>
    <w:qFormat/>
    <w:uiPriority w:val="0"/>
    <w:rPr>
      <w:color w:val="366FB6"/>
      <w:u w:val="none"/>
    </w:rPr>
  </w:style>
  <w:style w:type="character" w:customStyle="1" w:styleId="93">
    <w:name w:val="批注主题 Char1"/>
    <w:qFormat/>
    <w:uiPriority w:val="0"/>
    <w:rPr>
      <w:b/>
      <w:bCs/>
      <w:kern w:val="2"/>
      <w:sz w:val="21"/>
      <w:szCs w:val="24"/>
    </w:rPr>
  </w:style>
  <w:style w:type="character" w:customStyle="1" w:styleId="94">
    <w:name w:val="纯文本 Char2"/>
    <w:qFormat/>
    <w:uiPriority w:val="0"/>
    <w:rPr>
      <w:rFonts w:ascii="宋体" w:hAnsi="Courier New" w:cs="Courier New"/>
      <w:kern w:val="2"/>
      <w:sz w:val="21"/>
      <w:szCs w:val="21"/>
    </w:rPr>
  </w:style>
  <w:style w:type="character" w:customStyle="1" w:styleId="95">
    <w:name w:val="纯文本 Char1"/>
    <w:qFormat/>
    <w:uiPriority w:val="0"/>
    <w:rPr>
      <w:rFonts w:ascii="宋体" w:hAnsi="Courier New"/>
      <w:kern w:val="2"/>
      <w:sz w:val="21"/>
    </w:rPr>
  </w:style>
  <w:style w:type="character" w:customStyle="1" w:styleId="96">
    <w:name w:val="unnamed31"/>
    <w:qFormat/>
    <w:uiPriority w:val="0"/>
    <w:rPr>
      <w:sz w:val="22"/>
      <w:szCs w:val="22"/>
    </w:rPr>
  </w:style>
  <w:style w:type="character" w:customStyle="1" w:styleId="97">
    <w:name w:val="02、首行缩进2字符正文 Char"/>
    <w:link w:val="98"/>
    <w:qFormat/>
    <w:uiPriority w:val="0"/>
    <w:rPr>
      <w:rFonts w:ascii="宋体" w:hAnsi="宋体"/>
      <w:kern w:val="2"/>
      <w:sz w:val="24"/>
      <w:szCs w:val="24"/>
    </w:rPr>
  </w:style>
  <w:style w:type="paragraph" w:customStyle="1" w:styleId="98">
    <w:name w:val="02、首行缩进2字符正文"/>
    <w:basedOn w:val="1"/>
    <w:link w:val="97"/>
    <w:qFormat/>
    <w:uiPriority w:val="0"/>
    <w:pPr>
      <w:tabs>
        <w:tab w:val="left" w:pos="0"/>
      </w:tabs>
      <w:wordWrap w:val="0"/>
      <w:topLinePunct/>
      <w:adjustRightInd w:val="0"/>
      <w:snapToGrid w:val="0"/>
      <w:spacing w:line="440" w:lineRule="exact"/>
      <w:ind w:firstLine="480" w:firstLineChars="200"/>
      <w:jc w:val="left"/>
    </w:pPr>
    <w:rPr>
      <w:rFonts w:ascii="宋体" w:hAnsi="宋体"/>
      <w:sz w:val="24"/>
    </w:rPr>
  </w:style>
  <w:style w:type="character" w:customStyle="1" w:styleId="99">
    <w:name w:val="正文首行缩进两字符 Char Char"/>
    <w:qFormat/>
    <w:uiPriority w:val="0"/>
    <w:rPr>
      <w:rFonts w:eastAsia="宋体"/>
      <w:kern w:val="2"/>
      <w:sz w:val="21"/>
      <w:szCs w:val="24"/>
      <w:lang w:val="en-US" w:eastAsia="zh-CN" w:bidi="ar-SA"/>
    </w:rPr>
  </w:style>
  <w:style w:type="character" w:customStyle="1" w:styleId="100">
    <w:name w:val="fo Char"/>
    <w:qFormat/>
    <w:uiPriority w:val="0"/>
    <w:rPr>
      <w:sz w:val="18"/>
    </w:rPr>
  </w:style>
  <w:style w:type="character" w:customStyle="1" w:styleId="101">
    <w:name w:val="font51"/>
    <w:qFormat/>
    <w:uiPriority w:val="0"/>
    <w:rPr>
      <w:rFonts w:hint="eastAsia" w:ascii="宋体" w:hAnsi="宋体" w:eastAsia="宋体" w:cs="宋体"/>
      <w:color w:val="000000"/>
      <w:sz w:val="24"/>
      <w:szCs w:val="24"/>
      <w:u w:val="none"/>
      <w:vertAlign w:val="superscript"/>
    </w:rPr>
  </w:style>
  <w:style w:type="character" w:customStyle="1" w:styleId="102">
    <w:name w:val="img1"/>
    <w:basedOn w:val="49"/>
    <w:qFormat/>
    <w:uiPriority w:val="0"/>
  </w:style>
  <w:style w:type="character" w:customStyle="1" w:styleId="103">
    <w:name w:val="Char Char Char"/>
    <w:qFormat/>
    <w:uiPriority w:val="0"/>
    <w:rPr>
      <w:rFonts w:ascii="宋体"/>
      <w:kern w:val="2"/>
      <w:sz w:val="18"/>
      <w:szCs w:val="18"/>
    </w:rPr>
  </w:style>
  <w:style w:type="character" w:customStyle="1" w:styleId="104">
    <w:name w:val="Char Char5"/>
    <w:qFormat/>
    <w:uiPriority w:val="0"/>
    <w:rPr>
      <w:kern w:val="2"/>
      <w:sz w:val="18"/>
      <w:szCs w:val="18"/>
    </w:rPr>
  </w:style>
  <w:style w:type="character" w:customStyle="1" w:styleId="105">
    <w:name w:val="批注文字 Char"/>
    <w:qFormat/>
    <w:uiPriority w:val="0"/>
    <w:rPr>
      <w:rFonts w:ascii="宋体"/>
      <w:kern w:val="0"/>
      <w:sz w:val="21"/>
    </w:rPr>
  </w:style>
  <w:style w:type="character" w:customStyle="1" w:styleId="106">
    <w:name w:val="style91"/>
    <w:qFormat/>
    <w:uiPriority w:val="0"/>
    <w:rPr>
      <w:sz w:val="24"/>
      <w:szCs w:val="24"/>
    </w:rPr>
  </w:style>
  <w:style w:type="character" w:customStyle="1" w:styleId="107">
    <w:name w:val="Char Char1"/>
    <w:qFormat/>
    <w:uiPriority w:val="0"/>
    <w:rPr>
      <w:kern w:val="2"/>
      <w:sz w:val="18"/>
      <w:szCs w:val="18"/>
    </w:rPr>
  </w:style>
  <w:style w:type="character" w:customStyle="1" w:styleId="108">
    <w:name w:val="img"/>
    <w:basedOn w:val="49"/>
    <w:qFormat/>
    <w:uiPriority w:val="0"/>
  </w:style>
  <w:style w:type="character" w:customStyle="1" w:styleId="109">
    <w:name w:val="textnorm_chn1"/>
    <w:qFormat/>
    <w:uiPriority w:val="0"/>
    <w:rPr>
      <w:rFonts w:hint="default" w:ascii="Arial" w:hAnsi="Arial" w:cs="Arial"/>
      <w:color w:val="21254A"/>
      <w:sz w:val="22"/>
      <w:szCs w:val="22"/>
    </w:rPr>
  </w:style>
  <w:style w:type="character" w:customStyle="1" w:styleId="110">
    <w:name w:val="short_text"/>
    <w:qFormat/>
    <w:uiPriority w:val="0"/>
    <w:rPr>
      <w:rFonts w:ascii="宋体" w:hAnsi="宋体" w:eastAsia="宋体"/>
      <w:kern w:val="2"/>
      <w:sz w:val="30"/>
      <w:szCs w:val="30"/>
      <w:lang w:val="en-US" w:eastAsia="zh-CN" w:bidi="ar-SA"/>
    </w:rPr>
  </w:style>
  <w:style w:type="character" w:customStyle="1" w:styleId="111">
    <w:name w:val="b21"/>
    <w:qFormat/>
    <w:uiPriority w:val="0"/>
    <w:rPr>
      <w:color w:val="000000"/>
      <w:sz w:val="18"/>
      <w:szCs w:val="18"/>
      <w:u w:val="none"/>
    </w:rPr>
  </w:style>
  <w:style w:type="character" w:customStyle="1" w:styleId="112">
    <w:name w:val="Char Char4"/>
    <w:qFormat/>
    <w:uiPriority w:val="0"/>
    <w:rPr>
      <w:kern w:val="2"/>
      <w:sz w:val="18"/>
      <w:szCs w:val="18"/>
    </w:rPr>
  </w:style>
  <w:style w:type="character" w:customStyle="1" w:styleId="113">
    <w:name w:val="列表段落 字符"/>
    <w:link w:val="114"/>
    <w:qFormat/>
    <w:uiPriority w:val="0"/>
    <w:rPr>
      <w:sz w:val="34"/>
      <w:szCs w:val="22"/>
    </w:rPr>
  </w:style>
  <w:style w:type="paragraph" w:styleId="114">
    <w:name w:val="List Paragraph"/>
    <w:basedOn w:val="1"/>
    <w:link w:val="113"/>
    <w:qFormat/>
    <w:uiPriority w:val="34"/>
    <w:pPr>
      <w:ind w:firstLine="420" w:firstLineChars="200"/>
    </w:pPr>
    <w:rPr>
      <w:kern w:val="0"/>
      <w:sz w:val="34"/>
      <w:szCs w:val="22"/>
    </w:rPr>
  </w:style>
  <w:style w:type="character" w:customStyle="1" w:styleId="115">
    <w:name w:val="modifier"/>
    <w:qFormat/>
    <w:uiPriority w:val="0"/>
    <w:rPr>
      <w:rFonts w:ascii="宋体"/>
      <w:color w:val="FF0000"/>
      <w:kern w:val="0"/>
      <w:sz w:val="34"/>
    </w:rPr>
  </w:style>
  <w:style w:type="character" w:customStyle="1" w:styleId="116">
    <w:name w:val="NormalCharacter"/>
    <w:semiHidden/>
    <w:qFormat/>
    <w:uiPriority w:val="99"/>
    <w:rPr>
      <w:rFonts w:ascii="Times New Roman" w:hAnsi="Times New Roman" w:eastAsia="宋体"/>
      <w:kern w:val="2"/>
      <w:sz w:val="24"/>
      <w:lang w:val="en-US" w:eastAsia="zh-CN"/>
    </w:rPr>
  </w:style>
  <w:style w:type="character" w:customStyle="1" w:styleId="117">
    <w:name w:val="样式 Char Char"/>
    <w:link w:val="118"/>
    <w:qFormat/>
    <w:locked/>
    <w:uiPriority w:val="0"/>
    <w:rPr>
      <w:rFonts w:ascii="宋体" w:hAnsi="宋体"/>
      <w:sz w:val="24"/>
      <w:szCs w:val="24"/>
      <w:lang w:val="en-US" w:eastAsia="zh-CN" w:bidi="ar-SA"/>
    </w:rPr>
  </w:style>
  <w:style w:type="paragraph" w:customStyle="1" w:styleId="118">
    <w:name w:val="样式"/>
    <w:link w:val="11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19">
    <w:name w:val="Anrede1IhrZeichen"/>
    <w:qFormat/>
    <w:uiPriority w:val="0"/>
    <w:rPr>
      <w:rFonts w:ascii="Arial" w:hAnsi="Arial"/>
      <w:sz w:val="20"/>
    </w:rPr>
  </w:style>
  <w:style w:type="character" w:customStyle="1" w:styleId="120">
    <w:name w:val="日期 Char1"/>
    <w:qFormat/>
    <w:uiPriority w:val="0"/>
    <w:rPr>
      <w:kern w:val="2"/>
      <w:sz w:val="21"/>
      <w:szCs w:val="24"/>
    </w:rPr>
  </w:style>
  <w:style w:type="character" w:customStyle="1" w:styleId="121">
    <w:name w:val="Char Char8"/>
    <w:qFormat/>
    <w:uiPriority w:val="0"/>
    <w:rPr>
      <w:rFonts w:ascii="Arial" w:hAnsi="Arial" w:eastAsia="黑体"/>
      <w:b/>
      <w:bCs/>
      <w:kern w:val="2"/>
      <w:sz w:val="32"/>
      <w:szCs w:val="32"/>
      <w:lang w:val="en-US" w:eastAsia="zh-CN" w:bidi="ar-SA"/>
    </w:rPr>
  </w:style>
  <w:style w:type="character" w:customStyle="1" w:styleId="122">
    <w:name w:val="Char Char7"/>
    <w:qFormat/>
    <w:uiPriority w:val="0"/>
    <w:rPr>
      <w:rFonts w:ascii="宋体" w:hAnsi="Courier New" w:eastAsia="宋体"/>
      <w:kern w:val="2"/>
      <w:sz w:val="24"/>
      <w:lang w:val="en-US" w:eastAsia="zh-CN" w:bidi="ar-SA"/>
    </w:rPr>
  </w:style>
  <w:style w:type="character" w:customStyle="1" w:styleId="123">
    <w:name w:val="text"/>
    <w:qFormat/>
    <w:uiPriority w:val="0"/>
    <w:rPr>
      <w:rFonts w:ascii="宋体"/>
      <w:kern w:val="0"/>
      <w:sz w:val="34"/>
    </w:rPr>
  </w:style>
  <w:style w:type="character" w:customStyle="1" w:styleId="124">
    <w:name w:val="label"/>
    <w:qFormat/>
    <w:uiPriority w:val="0"/>
    <w:rPr>
      <w:rFonts w:ascii="宋体"/>
      <w:color w:val="555555"/>
      <w:kern w:val="0"/>
      <w:sz w:val="34"/>
    </w:rPr>
  </w:style>
  <w:style w:type="character" w:customStyle="1" w:styleId="125">
    <w:name w:val="正文文本缩进 Char1"/>
    <w:qFormat/>
    <w:uiPriority w:val="0"/>
    <w:rPr>
      <w:kern w:val="2"/>
      <w:sz w:val="21"/>
      <w:szCs w:val="24"/>
    </w:rPr>
  </w:style>
  <w:style w:type="character" w:customStyle="1" w:styleId="126">
    <w:name w:val="标题 2 Char Char"/>
    <w:qFormat/>
    <w:uiPriority w:val="0"/>
    <w:rPr>
      <w:rFonts w:ascii="Arial" w:hAnsi="Arial" w:eastAsia="黑体"/>
      <w:b/>
      <w:bCs/>
      <w:kern w:val="2"/>
      <w:sz w:val="32"/>
      <w:szCs w:val="32"/>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11-a-a"/>
    <w:qFormat/>
    <w:uiPriority w:val="0"/>
    <w:rPr>
      <w:rFonts w:ascii="宋体"/>
      <w:kern w:val="0"/>
      <w:sz w:val="34"/>
    </w:rPr>
  </w:style>
  <w:style w:type="character" w:customStyle="1" w:styleId="129">
    <w:name w:val="标题 3 Char Char Char"/>
    <w:qFormat/>
    <w:uiPriority w:val="0"/>
    <w:rPr>
      <w:rFonts w:eastAsia="宋体"/>
      <w:b/>
      <w:kern w:val="2"/>
      <w:sz w:val="32"/>
      <w:lang w:val="en-US" w:eastAsia="zh-CN" w:bidi="ar-SA"/>
    </w:rPr>
  </w:style>
  <w:style w:type="character" w:customStyle="1" w:styleId="130">
    <w:name w:val="abcde1"/>
    <w:qFormat/>
    <w:uiPriority w:val="0"/>
    <w:rPr>
      <w:rFonts w:ascii="宋体"/>
      <w:kern w:val="0"/>
      <w:sz w:val="34"/>
    </w:rPr>
  </w:style>
  <w:style w:type="character" w:customStyle="1" w:styleId="131">
    <w:name w:val="ca-111"/>
    <w:qFormat/>
    <w:uiPriority w:val="0"/>
    <w:rPr>
      <w:rFonts w:hint="eastAsia" w:ascii="宋体" w:hAnsi="宋体" w:eastAsia="宋体"/>
      <w:color w:val="000000"/>
      <w:sz w:val="24"/>
      <w:szCs w:val="24"/>
    </w:rPr>
  </w:style>
  <w:style w:type="character" w:customStyle="1" w:styleId="132">
    <w:name w:val="脚注文本 Char1"/>
    <w:qFormat/>
    <w:uiPriority w:val="0"/>
    <w:rPr>
      <w:kern w:val="2"/>
      <w:sz w:val="18"/>
      <w:szCs w:val="18"/>
    </w:rPr>
  </w:style>
  <w:style w:type="character" w:customStyle="1" w:styleId="133">
    <w:name w:val="style181"/>
    <w:qFormat/>
    <w:uiPriority w:val="0"/>
    <w:rPr>
      <w:sz w:val="18"/>
      <w:szCs w:val="18"/>
    </w:rPr>
  </w:style>
  <w:style w:type="character" w:customStyle="1" w:styleId="134">
    <w:name w:val="正文缩进 Char1"/>
    <w:qFormat/>
    <w:uiPriority w:val="0"/>
    <w:rPr>
      <w:rFonts w:eastAsia="宋体"/>
      <w:kern w:val="2"/>
      <w:sz w:val="21"/>
      <w:szCs w:val="24"/>
      <w:lang w:val="en-US" w:eastAsia="zh-CN" w:bidi="ar-SA"/>
    </w:rPr>
  </w:style>
  <w:style w:type="character" w:customStyle="1" w:styleId="135">
    <w:name w:val="text1"/>
    <w:qFormat/>
    <w:uiPriority w:val="0"/>
    <w:rPr>
      <w:rFonts w:ascii="宋体"/>
      <w:kern w:val="0"/>
      <w:sz w:val="34"/>
    </w:rPr>
  </w:style>
  <w:style w:type="character" w:customStyle="1" w:styleId="136">
    <w:name w:val="style1"/>
    <w:qFormat/>
    <w:uiPriority w:val="7"/>
    <w:rPr>
      <w:rFonts w:ascii="宋体"/>
      <w:kern w:val="0"/>
      <w:sz w:val="34"/>
    </w:rPr>
  </w:style>
  <w:style w:type="paragraph" w:customStyle="1" w:styleId="13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38">
    <w:name w:val="List Paragraph1"/>
    <w:basedOn w:val="1"/>
    <w:qFormat/>
    <w:uiPriority w:val="99"/>
    <w:pPr>
      <w:ind w:firstLine="420" w:firstLineChars="200"/>
    </w:pPr>
    <w:rPr>
      <w:rFonts w:ascii="Calibri" w:hAnsi="Calibri" w:cs="Calibri"/>
      <w:szCs w:val="21"/>
    </w:rPr>
  </w:style>
  <w:style w:type="paragraph" w:customStyle="1" w:styleId="139">
    <w:name w:val="xl6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textAlignment w:val="center"/>
    </w:pPr>
    <w:rPr>
      <w:rFonts w:ascii="宋体" w:hAnsi="宋体"/>
      <w:kern w:val="0"/>
      <w:sz w:val="18"/>
      <w:szCs w:val="18"/>
    </w:rPr>
  </w:style>
  <w:style w:type="paragraph" w:customStyle="1" w:styleId="140">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41">
    <w:name w:val="Char Char6"/>
    <w:basedOn w:val="1"/>
    <w:qFormat/>
    <w:uiPriority w:val="0"/>
    <w:rPr>
      <w:rFonts w:ascii="宋体"/>
      <w:kern w:val="0"/>
      <w:sz w:val="34"/>
    </w:rPr>
  </w:style>
  <w:style w:type="paragraph" w:customStyle="1" w:styleId="142">
    <w:name w:val="样式 行距: 固定值 25 磅 首行缩进:  2 字符"/>
    <w:basedOn w:val="1"/>
    <w:qFormat/>
    <w:uiPriority w:val="0"/>
    <w:pPr>
      <w:adjustRightInd w:val="0"/>
      <w:spacing w:line="500" w:lineRule="exact"/>
      <w:ind w:firstLine="560" w:firstLineChars="200"/>
      <w:textAlignment w:val="baseline"/>
    </w:pPr>
    <w:rPr>
      <w:rFonts w:ascii="宋体"/>
      <w:kern w:val="0"/>
      <w:sz w:val="28"/>
      <w:szCs w:val="28"/>
    </w:rPr>
  </w:style>
  <w:style w:type="paragraph" w:customStyle="1" w:styleId="1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olor w:val="FFFFFF"/>
      <w:kern w:val="0"/>
      <w:sz w:val="34"/>
      <w:szCs w:val="21"/>
    </w:rPr>
  </w:style>
  <w:style w:type="paragraph" w:customStyle="1" w:styleId="144">
    <w:name w:val="样式1"/>
    <w:basedOn w:val="1"/>
    <w:qFormat/>
    <w:uiPriority w:val="0"/>
    <w:pPr>
      <w:spacing w:before="120" w:after="120" w:line="300" w:lineRule="auto"/>
    </w:pPr>
    <w:rPr>
      <w:rFonts w:ascii="宋体" w:hAnsi="宋体"/>
      <w:b/>
      <w:kern w:val="0"/>
      <w:sz w:val="24"/>
      <w:szCs w:val="20"/>
    </w:rPr>
  </w:style>
  <w:style w:type="paragraph" w:customStyle="1" w:styleId="145">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top"/>
    </w:pPr>
    <w:rPr>
      <w:rFonts w:ascii="宋体"/>
      <w:color w:val="FFFFFF"/>
      <w:kern w:val="0"/>
      <w:sz w:val="34"/>
      <w:szCs w:val="21"/>
    </w:rPr>
  </w:style>
  <w:style w:type="paragraph" w:customStyle="1" w:styleId="146">
    <w:name w:val="列出段落1"/>
    <w:qFormat/>
    <w:uiPriority w:val="0"/>
    <w:pPr>
      <w:ind w:firstLine="420" w:firstLineChars="200"/>
    </w:pPr>
    <w:rPr>
      <w:rFonts w:ascii="Times New Roman" w:hAnsi="Times New Roman" w:eastAsia="宋体" w:cs="Times New Roman"/>
      <w:lang w:val="en-US" w:eastAsia="zh-CN" w:bidi="ar-SA"/>
    </w:rPr>
  </w:style>
  <w:style w:type="paragraph" w:customStyle="1" w:styleId="14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Arial Unicode MS"/>
      <w:color w:val="000000"/>
      <w:kern w:val="0"/>
      <w:sz w:val="22"/>
      <w:szCs w:val="22"/>
    </w:rPr>
  </w:style>
  <w:style w:type="paragraph" w:customStyle="1" w:styleId="148">
    <w:name w:val="xl66"/>
    <w:basedOn w:val="1"/>
    <w:qFormat/>
    <w:uiPriority w:val="0"/>
    <w:pPr>
      <w:widowControl/>
      <w:pBdr>
        <w:right w:val="single" w:color="000000" w:sz="4" w:space="0"/>
      </w:pBdr>
      <w:spacing w:before="100" w:beforeAutospacing="1" w:after="100" w:afterAutospacing="1"/>
      <w:jc w:val="right"/>
      <w:textAlignment w:val="center"/>
    </w:pPr>
    <w:rPr>
      <w:rFonts w:ascii="宋体"/>
      <w:color w:val="FFFFFF"/>
      <w:kern w:val="0"/>
      <w:sz w:val="34"/>
      <w:szCs w:val="21"/>
    </w:rPr>
  </w:style>
  <w:style w:type="paragraph" w:customStyle="1" w:styleId="1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olor w:val="FFFFFF"/>
      <w:kern w:val="0"/>
      <w:sz w:val="34"/>
      <w:szCs w:val="21"/>
    </w:rPr>
  </w:style>
  <w:style w:type="paragraph" w:customStyle="1" w:styleId="150">
    <w:name w:val="Char Char Char Char Char Char1 Char1"/>
    <w:basedOn w:val="15"/>
    <w:qFormat/>
    <w:uiPriority w:val="0"/>
    <w:pPr>
      <w:shd w:val="clear" w:color="auto" w:fill="000080"/>
    </w:pPr>
    <w:rPr>
      <w:rFonts w:ascii="Tahoma" w:hAnsi="Tahoma"/>
      <w:sz w:val="24"/>
      <w:szCs w:val="24"/>
    </w:rPr>
  </w:style>
  <w:style w:type="paragraph" w:customStyle="1" w:styleId="151">
    <w:name w:val="Char Char Char Char"/>
    <w:basedOn w:val="15"/>
    <w:qFormat/>
    <w:uiPriority w:val="0"/>
    <w:pPr>
      <w:shd w:val="clear" w:color="auto" w:fill="000080"/>
      <w:adjustRightInd w:val="0"/>
      <w:snapToGrid w:val="0"/>
      <w:spacing w:line="360" w:lineRule="auto"/>
    </w:pPr>
    <w:rPr>
      <w:rFonts w:ascii="Tahoma" w:hAnsi="Tahoma"/>
      <w:kern w:val="2"/>
      <w:sz w:val="24"/>
      <w:szCs w:val="24"/>
    </w:rPr>
  </w:style>
  <w:style w:type="paragraph" w:customStyle="1" w:styleId="152">
    <w:name w:val="Char1 Char Char Char Char Char Char"/>
    <w:basedOn w:val="1"/>
    <w:qFormat/>
    <w:uiPriority w:val="0"/>
    <w:rPr>
      <w:rFonts w:ascii="宋体"/>
      <w:kern w:val="0"/>
      <w:sz w:val="34"/>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5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5">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15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19、“(1)”六级标题"/>
    <w:basedOn w:val="158"/>
    <w:qFormat/>
    <w:uiPriority w:val="0"/>
    <w:pPr>
      <w:numPr>
        <w:ilvl w:val="5"/>
      </w:numPr>
      <w:tabs>
        <w:tab w:val="left" w:pos="0"/>
      </w:tabs>
      <w:ind w:left="2520" w:firstLine="803"/>
    </w:pPr>
  </w:style>
  <w:style w:type="paragraph" w:customStyle="1" w:styleId="158">
    <w:name w:val="17“1.”四级标题"/>
    <w:basedOn w:val="1"/>
    <w:qFormat/>
    <w:uiPriority w:val="0"/>
    <w:pPr>
      <w:numPr>
        <w:ilvl w:val="3"/>
        <w:numId w:val="4"/>
      </w:numPr>
      <w:wordWrap w:val="0"/>
      <w:topLinePunct/>
      <w:adjustRightInd w:val="0"/>
      <w:snapToGrid w:val="0"/>
      <w:spacing w:line="440" w:lineRule="exact"/>
      <w:ind w:firstLine="803" w:firstLineChars="200"/>
      <w:jc w:val="left"/>
    </w:pPr>
    <w:rPr>
      <w:rFonts w:ascii="宋体" w:hAnsi="宋体"/>
      <w:sz w:val="24"/>
    </w:rPr>
  </w:style>
  <w:style w:type="paragraph" w:customStyle="1" w:styleId="159">
    <w:name w:val="Char Char Char Char Char Char Char"/>
    <w:basedOn w:val="1"/>
    <w:qFormat/>
    <w:uiPriority w:val="0"/>
    <w:rPr>
      <w:rFonts w:ascii="宋体"/>
      <w:kern w:val="0"/>
      <w:sz w:val="34"/>
      <w:szCs w:val="20"/>
    </w:rPr>
  </w:style>
  <w:style w:type="paragraph" w:customStyle="1" w:styleId="16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eastAsia="Arial Unicode MS"/>
      <w:color w:val="000000"/>
      <w:kern w:val="0"/>
      <w:sz w:val="20"/>
      <w:szCs w:val="20"/>
    </w:rPr>
  </w:style>
  <w:style w:type="paragraph" w:customStyle="1" w:styleId="16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2">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kern w:val="0"/>
      <w:sz w:val="34"/>
      <w:szCs w:val="21"/>
    </w:rPr>
  </w:style>
  <w:style w:type="paragraph" w:customStyle="1" w:styleId="163">
    <w:name w:val="样式8"/>
    <w:basedOn w:val="1"/>
    <w:qFormat/>
    <w:uiPriority w:val="0"/>
    <w:pPr>
      <w:adjustRightInd w:val="0"/>
      <w:snapToGrid w:val="0"/>
      <w:spacing w:line="480" w:lineRule="exact"/>
      <w:ind w:firstLine="200" w:firstLineChars="200"/>
    </w:pPr>
    <w:rPr>
      <w:rFonts w:ascii="宋体" w:hAnsi="Arial" w:eastAsia="新宋体"/>
      <w:kern w:val="0"/>
      <w:sz w:val="24"/>
      <w:szCs w:val="20"/>
    </w:rPr>
  </w:style>
  <w:style w:type="paragraph" w:customStyle="1" w:styleId="164">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5">
    <w:name w:val="WW-普通文字"/>
    <w:basedOn w:val="1"/>
    <w:qFormat/>
    <w:uiPriority w:val="0"/>
    <w:pPr>
      <w:suppressAutoHyphens/>
    </w:pPr>
    <w:rPr>
      <w:rFonts w:ascii="宋体" w:hAnsi="宋体"/>
      <w:szCs w:val="20"/>
    </w:rPr>
  </w:style>
  <w:style w:type="paragraph" w:customStyle="1" w:styleId="166">
    <w:name w:val="_Style 5"/>
    <w:basedOn w:val="1"/>
    <w:qFormat/>
    <w:uiPriority w:val="0"/>
    <w:rPr>
      <w:rFonts w:ascii="宋体"/>
      <w:kern w:val="0"/>
      <w:sz w:val="34"/>
      <w:szCs w:val="20"/>
    </w:rPr>
  </w:style>
  <w:style w:type="paragraph" w:customStyle="1" w:styleId="16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
    <w:name w:val="默认段落字体 Para Char Char Char Char Char Char Char"/>
    <w:basedOn w:val="1"/>
    <w:qFormat/>
    <w:uiPriority w:val="0"/>
    <w:rPr>
      <w:rFonts w:ascii="Tahoma" w:hAnsi="Tahoma"/>
      <w:kern w:val="0"/>
      <w:sz w:val="24"/>
      <w:szCs w:val="20"/>
    </w:rPr>
  </w:style>
  <w:style w:type="paragraph" w:customStyle="1" w:styleId="16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170">
    <w:name w:val="Standard o abs"/>
    <w:basedOn w:val="1"/>
    <w:qFormat/>
    <w:uiPriority w:val="0"/>
    <w:pPr>
      <w:widowControl/>
      <w:tabs>
        <w:tab w:val="left" w:pos="2835"/>
        <w:tab w:val="left" w:pos="3119"/>
        <w:tab w:val="left" w:pos="3402"/>
        <w:tab w:val="left" w:pos="3686"/>
        <w:tab w:val="left" w:pos="3969"/>
        <w:tab w:val="left" w:pos="4253"/>
      </w:tabs>
      <w:ind w:left="2552"/>
      <w:jc w:val="left"/>
    </w:pPr>
    <w:rPr>
      <w:rFonts w:ascii="Syntax" w:hAnsi="Syntax"/>
      <w:kern w:val="0"/>
      <w:sz w:val="20"/>
      <w:szCs w:val="20"/>
      <w:lang w:val="de-DE" w:eastAsia="de-DE"/>
    </w:rPr>
  </w:style>
  <w:style w:type="paragraph" w:customStyle="1" w:styleId="17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2">
    <w:name w:val="标题4"/>
    <w:basedOn w:val="6"/>
    <w:qFormat/>
    <w:uiPriority w:val="0"/>
    <w:pPr>
      <w:adjustRightInd/>
      <w:spacing w:before="140" w:after="0" w:line="240" w:lineRule="auto"/>
      <w:jc w:val="center"/>
      <w:textAlignment w:val="auto"/>
    </w:pPr>
    <w:rPr>
      <w:rFonts w:ascii="黑体" w:hAnsi="宋体" w:eastAsia="宋体"/>
      <w:kern w:val="2"/>
      <w:sz w:val="32"/>
    </w:rPr>
  </w:style>
  <w:style w:type="paragraph" w:customStyle="1" w:styleId="173">
    <w:name w:val="菲页1"/>
    <w:basedOn w:val="3"/>
    <w:qFormat/>
    <w:uiPriority w:val="0"/>
    <w:pPr>
      <w:widowControl/>
      <w:jc w:val="center"/>
    </w:pPr>
    <w:rPr>
      <w:rFonts w:ascii="黑体" w:hAnsi="宋体" w:eastAsia="黑体"/>
      <w:b w:val="0"/>
      <w:bCs w:val="0"/>
      <w:kern w:val="0"/>
      <w:sz w:val="52"/>
      <w:szCs w:val="20"/>
    </w:rPr>
  </w:style>
  <w:style w:type="paragraph" w:customStyle="1" w:styleId="174">
    <w:name w:val="正文缩进1"/>
    <w:basedOn w:val="1"/>
    <w:next w:val="1"/>
    <w:qFormat/>
    <w:uiPriority w:val="0"/>
    <w:pPr>
      <w:widowControl/>
      <w:ind w:firstLine="420"/>
    </w:pPr>
    <w:rPr>
      <w:rFonts w:ascii="宋体"/>
      <w:color w:val="000000"/>
      <w:kern w:val="0"/>
      <w:sz w:val="34"/>
      <w:szCs w:val="20"/>
    </w:rPr>
  </w:style>
  <w:style w:type="paragraph" w:customStyle="1" w:styleId="175">
    <w:name w:val="xl56"/>
    <w:basedOn w:val="1"/>
    <w:qFormat/>
    <w:uiPriority w:val="0"/>
    <w:pPr>
      <w:widowControl/>
      <w:pBdr>
        <w:left w:val="single" w:color="auto" w:sz="4" w:space="0"/>
        <w:bottom w:val="single" w:color="auto" w:sz="8" w:space="0"/>
        <w:right w:val="single" w:color="auto" w:sz="4" w:space="0"/>
      </w:pBdr>
      <w:spacing w:before="100" w:beforeAutospacing="1" w:after="100" w:afterAutospacing="1"/>
      <w:jc w:val="right"/>
      <w:textAlignment w:val="center"/>
    </w:pPr>
    <w:rPr>
      <w:rFonts w:ascii="宋体"/>
      <w:kern w:val="0"/>
      <w:sz w:val="34"/>
      <w:szCs w:val="21"/>
    </w:rPr>
  </w:style>
  <w:style w:type="paragraph" w:customStyle="1" w:styleId="176">
    <w:name w:val="目录"/>
    <w:basedOn w:val="1"/>
    <w:qFormat/>
    <w:uiPriority w:val="0"/>
    <w:pPr>
      <w:widowControl/>
      <w:jc w:val="center"/>
    </w:pPr>
    <w:rPr>
      <w:rFonts w:ascii="宋体"/>
      <w:b/>
      <w:kern w:val="0"/>
      <w:sz w:val="36"/>
      <w:szCs w:val="20"/>
    </w:rPr>
  </w:style>
  <w:style w:type="paragraph" w:customStyle="1" w:styleId="17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8">
    <w:name w:val="kerning2lochf13hichaf2db"/>
    <w:qFormat/>
    <w:uiPriority w:val="0"/>
    <w:pPr>
      <w:widowControl w:val="0"/>
      <w:autoSpaceDE w:val="0"/>
      <w:autoSpaceDN w:val="0"/>
      <w:adjustRightInd w:val="0"/>
      <w:jc w:val="both"/>
    </w:pPr>
    <w:rPr>
      <w:rFonts w:ascii="Times New Roman" w:hAnsi="Times New Roman" w:eastAsia="宋体" w:cs="Times New Roman"/>
      <w:sz w:val="21"/>
      <w:szCs w:val="21"/>
      <w:lang w:val="en-US" w:eastAsia="zh-CN" w:bidi="ar-SA"/>
    </w:rPr>
  </w:style>
  <w:style w:type="paragraph" w:customStyle="1" w:styleId="179">
    <w:name w:val="xl5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34"/>
      <w:szCs w:val="21"/>
    </w:rPr>
  </w:style>
  <w:style w:type="paragraph" w:customStyle="1" w:styleId="180">
    <w:name w:val="table head"/>
    <w:basedOn w:val="1"/>
    <w:qFormat/>
    <w:uiPriority w:val="0"/>
    <w:pPr>
      <w:keepNext/>
      <w:keepLines/>
      <w:adjustRightInd w:val="0"/>
      <w:spacing w:line="312" w:lineRule="atLeast"/>
      <w:jc w:val="center"/>
      <w:textAlignment w:val="baseline"/>
    </w:pPr>
    <w:rPr>
      <w:rFonts w:ascii="宋体"/>
      <w:b/>
      <w:kern w:val="0"/>
      <w:sz w:val="34"/>
      <w:szCs w:val="20"/>
    </w:rPr>
  </w:style>
  <w:style w:type="paragraph" w:customStyle="1" w:styleId="18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Arial Unicode MS"/>
      <w:color w:val="000000"/>
      <w:kern w:val="0"/>
      <w:sz w:val="20"/>
      <w:szCs w:val="20"/>
    </w:rPr>
  </w:style>
  <w:style w:type="paragraph" w:customStyle="1" w:styleId="182">
    <w:name w:val="样式2"/>
    <w:basedOn w:val="1"/>
    <w:qFormat/>
    <w:uiPriority w:val="0"/>
    <w:pPr>
      <w:adjustRightInd w:val="0"/>
      <w:spacing w:line="410" w:lineRule="atLeast"/>
      <w:textAlignment w:val="baseline"/>
    </w:pPr>
    <w:rPr>
      <w:rFonts w:ascii="宋体"/>
      <w:kern w:val="0"/>
      <w:sz w:val="24"/>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Char1 Char Char Char"/>
    <w:basedOn w:val="1"/>
    <w:qFormat/>
    <w:uiPriority w:val="0"/>
    <w:rPr>
      <w:rFonts w:ascii="宋体"/>
      <w:kern w:val="0"/>
      <w:sz w:val="34"/>
    </w:rPr>
  </w:style>
  <w:style w:type="paragraph" w:customStyle="1" w:styleId="18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86">
    <w:name w:val="样式3"/>
    <w:basedOn w:val="1"/>
    <w:next w:val="1"/>
    <w:qFormat/>
    <w:uiPriority w:val="0"/>
    <w:pPr>
      <w:adjustRightInd w:val="0"/>
      <w:snapToGrid w:val="0"/>
      <w:spacing w:line="360" w:lineRule="auto"/>
    </w:pPr>
    <w:rPr>
      <w:rFonts w:ascii="宋体" w:hAnsi="宋体"/>
      <w:b/>
      <w:bCs/>
      <w:kern w:val="0"/>
      <w:sz w:val="24"/>
      <w:szCs w:val="20"/>
    </w:rPr>
  </w:style>
  <w:style w:type="paragraph" w:customStyle="1" w:styleId="18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List Paragraph11"/>
    <w:basedOn w:val="1"/>
    <w:qFormat/>
    <w:uiPriority w:val="0"/>
    <w:pPr>
      <w:ind w:firstLine="420" w:firstLineChars="200"/>
    </w:pPr>
    <w:rPr>
      <w:kern w:val="0"/>
      <w:sz w:val="34"/>
      <w:szCs w:val="22"/>
    </w:rPr>
  </w:style>
  <w:style w:type="paragraph" w:customStyle="1" w:styleId="189">
    <w:name w:val="菲页2"/>
    <w:basedOn w:val="5"/>
    <w:qFormat/>
    <w:uiPriority w:val="0"/>
    <w:pPr>
      <w:widowControl/>
      <w:numPr>
        <w:ilvl w:val="2"/>
        <w:numId w:val="5"/>
      </w:numPr>
      <w:tabs>
        <w:tab w:val="left" w:pos="1000"/>
      </w:tabs>
      <w:spacing w:before="120" w:after="120" w:line="360" w:lineRule="auto"/>
      <w:jc w:val="center"/>
    </w:pPr>
    <w:rPr>
      <w:rFonts w:ascii="黑体" w:hAnsi="宋体" w:eastAsia="黑体"/>
      <w:b w:val="0"/>
      <w:bCs w:val="0"/>
      <w:kern w:val="0"/>
      <w:sz w:val="44"/>
      <w:szCs w:val="20"/>
    </w:rPr>
  </w:style>
  <w:style w:type="paragraph" w:customStyle="1" w:styleId="19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1">
    <w:name w:val="Normal_0"/>
    <w:qFormat/>
    <w:uiPriority w:val="0"/>
    <w:rPr>
      <w:rFonts w:ascii="Times New Roman" w:hAnsi="Times New Roman" w:eastAsia="Times New Roman" w:cs="Times New Roman"/>
      <w:sz w:val="24"/>
      <w:szCs w:val="24"/>
      <w:lang w:val="en-US" w:eastAsia="zh-CN" w:bidi="ar-SA"/>
    </w:rPr>
  </w:style>
  <w:style w:type="paragraph" w:customStyle="1" w:styleId="192">
    <w:name w:val="样式 宋体 行距: 固定值 18 磅"/>
    <w:basedOn w:val="1"/>
    <w:qFormat/>
    <w:uiPriority w:val="0"/>
    <w:pPr>
      <w:adjustRightInd w:val="0"/>
      <w:spacing w:beforeLines="30" w:line="360" w:lineRule="exact"/>
      <w:textAlignment w:val="baseline"/>
    </w:pPr>
    <w:rPr>
      <w:rFonts w:ascii="宋体" w:cs="黑体"/>
      <w:kern w:val="0"/>
      <w:sz w:val="24"/>
      <w:szCs w:val="20"/>
    </w:rPr>
  </w:style>
  <w:style w:type="paragraph" w:customStyle="1" w:styleId="193">
    <w:name w:val="正文首行缩进两字符"/>
    <w:basedOn w:val="1"/>
    <w:qFormat/>
    <w:uiPriority w:val="0"/>
    <w:pPr>
      <w:spacing w:line="360" w:lineRule="auto"/>
      <w:ind w:firstLine="200" w:firstLineChars="200"/>
    </w:pPr>
    <w:rPr>
      <w:rFonts w:ascii="宋体"/>
      <w:kern w:val="0"/>
      <w:sz w:val="34"/>
    </w:rPr>
  </w:style>
  <w:style w:type="paragraph" w:customStyle="1" w:styleId="194">
    <w:name w:val="14、“第一章”一级标题"/>
    <w:basedOn w:val="1"/>
    <w:qFormat/>
    <w:uiPriority w:val="0"/>
    <w:pPr>
      <w:numPr>
        <w:ilvl w:val="0"/>
        <w:numId w:val="4"/>
      </w:numPr>
      <w:tabs>
        <w:tab w:val="clear" w:pos="0"/>
      </w:tabs>
      <w:wordWrap w:val="0"/>
      <w:topLinePunct/>
      <w:adjustRightInd w:val="0"/>
      <w:snapToGrid w:val="0"/>
      <w:spacing w:before="50" w:beforeLines="50" w:after="50" w:afterLines="50"/>
      <w:ind w:left="405" w:hanging="405"/>
      <w:jc w:val="center"/>
      <w:outlineLvl w:val="0"/>
    </w:pPr>
    <w:rPr>
      <w:rFonts w:ascii="宋体" w:hAnsi="宋体"/>
      <w:b/>
      <w:snapToGrid w:val="0"/>
      <w:sz w:val="36"/>
    </w:rPr>
  </w:style>
  <w:style w:type="paragraph" w:customStyle="1" w:styleId="195">
    <w:name w:val="Default"/>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196">
    <w:name w:val="font11"/>
    <w:basedOn w:val="1"/>
    <w:qFormat/>
    <w:uiPriority w:val="0"/>
    <w:pPr>
      <w:widowControl/>
      <w:spacing w:before="100" w:beforeAutospacing="1" w:after="100" w:afterAutospacing="1"/>
      <w:jc w:val="left"/>
    </w:pPr>
    <w:rPr>
      <w:rFonts w:ascii="宋体"/>
      <w:color w:val="000000"/>
      <w:kern w:val="0"/>
      <w:sz w:val="18"/>
      <w:szCs w:val="18"/>
    </w:rPr>
  </w:style>
  <w:style w:type="paragraph" w:customStyle="1" w:styleId="19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9">
    <w:name w:val="_Style 1"/>
    <w:basedOn w:val="1"/>
    <w:qFormat/>
    <w:uiPriority w:val="0"/>
    <w:pPr>
      <w:ind w:firstLine="420" w:firstLineChars="200"/>
    </w:pPr>
    <w:rPr>
      <w:kern w:val="0"/>
      <w:sz w:val="34"/>
      <w:szCs w:val="22"/>
    </w:rPr>
  </w:style>
  <w:style w:type="paragraph" w:customStyle="1" w:styleId="200">
    <w:name w:val="reader-word-layer reader-word-s5-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xl65"/>
    <w:basedOn w:val="1"/>
    <w:qFormat/>
    <w:uiPriority w:val="0"/>
    <w:pPr>
      <w:widowControl/>
      <w:pBdr>
        <w:bottom w:val="single" w:color="000000" w:sz="4" w:space="0"/>
        <w:right w:val="single" w:color="auto" w:sz="8" w:space="0"/>
      </w:pBdr>
      <w:spacing w:before="100" w:beforeAutospacing="1" w:after="100" w:afterAutospacing="1"/>
      <w:jc w:val="left"/>
      <w:textAlignment w:val="center"/>
    </w:pPr>
    <w:rPr>
      <w:rFonts w:ascii="宋体"/>
      <w:color w:val="FFFFFF"/>
      <w:kern w:val="0"/>
      <w:sz w:val="34"/>
      <w:szCs w:val="21"/>
    </w:rPr>
  </w:style>
  <w:style w:type="paragraph" w:customStyle="1" w:styleId="202">
    <w:name w:val="列表段落1"/>
    <w:basedOn w:val="1"/>
    <w:qFormat/>
    <w:uiPriority w:val="34"/>
    <w:pPr>
      <w:widowControl/>
      <w:ind w:firstLine="420" w:firstLineChars="200"/>
      <w:jc w:val="left"/>
    </w:pPr>
    <w:rPr>
      <w:kern w:val="0"/>
      <w:sz w:val="24"/>
    </w:rPr>
  </w:style>
  <w:style w:type="paragraph" w:customStyle="1" w:styleId="203">
    <w:name w:val="标题5"/>
    <w:basedOn w:val="7"/>
    <w:next w:val="7"/>
    <w:qFormat/>
    <w:uiPriority w:val="0"/>
    <w:pPr>
      <w:adjustRightInd/>
      <w:spacing w:before="0" w:after="0" w:line="300" w:lineRule="exact"/>
      <w:ind w:firstLine="630" w:firstLineChars="300"/>
      <w:textAlignment w:val="auto"/>
    </w:pPr>
    <w:rPr>
      <w:b w:val="0"/>
      <w:color w:val="000000"/>
      <w:kern w:val="2"/>
      <w:sz w:val="21"/>
      <w:szCs w:val="32"/>
    </w:rPr>
  </w:style>
  <w:style w:type="paragraph" w:customStyle="1" w:styleId="204">
    <w:name w:val="Char5"/>
    <w:basedOn w:val="1"/>
    <w:qFormat/>
    <w:uiPriority w:val="0"/>
    <w:rPr>
      <w:rFonts w:ascii="宋体"/>
      <w:kern w:val="0"/>
      <w:sz w:val="34"/>
    </w:rPr>
  </w:style>
  <w:style w:type="paragraph" w:customStyle="1" w:styleId="2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6">
    <w:name w:val="菲页(卷)"/>
    <w:basedOn w:val="2"/>
    <w:next w:val="207"/>
    <w:qFormat/>
    <w:uiPriority w:val="0"/>
    <w:pPr>
      <w:keepLines w:val="0"/>
      <w:widowControl/>
      <w:numPr>
        <w:ilvl w:val="0"/>
        <w:numId w:val="5"/>
      </w:numPr>
      <w:tabs>
        <w:tab w:val="left" w:pos="420"/>
      </w:tabs>
      <w:spacing w:before="0" w:line="240" w:lineRule="auto"/>
      <w:jc w:val="center"/>
      <w:outlineLvl w:val="1"/>
    </w:pPr>
    <w:rPr>
      <w:rFonts w:ascii="黑体" w:eastAsia="黑体"/>
      <w:b w:val="0"/>
      <w:kern w:val="0"/>
      <w:sz w:val="52"/>
      <w:szCs w:val="20"/>
    </w:rPr>
  </w:style>
  <w:style w:type="paragraph" w:customStyle="1" w:styleId="20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8">
    <w:name w:val="Char1"/>
    <w:basedOn w:val="1"/>
    <w:qFormat/>
    <w:uiPriority w:val="0"/>
    <w:rPr>
      <w:rFonts w:ascii="宋体"/>
      <w:kern w:val="0"/>
      <w:sz w:val="34"/>
      <w:szCs w:val="21"/>
    </w:rPr>
  </w:style>
  <w:style w:type="paragraph" w:customStyle="1" w:styleId="20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Arial Unicode MS"/>
      <w:b/>
      <w:bCs/>
      <w:color w:val="000000"/>
      <w:kern w:val="0"/>
      <w:sz w:val="20"/>
      <w:szCs w:val="20"/>
    </w:rPr>
  </w:style>
  <w:style w:type="paragraph" w:customStyle="1" w:styleId="213">
    <w:name w:val="Char Char Char Char Char Char1 Char"/>
    <w:basedOn w:val="15"/>
    <w:qFormat/>
    <w:uiPriority w:val="0"/>
    <w:pPr>
      <w:shd w:val="clear" w:color="auto" w:fill="000080"/>
    </w:pPr>
    <w:rPr>
      <w:rFonts w:ascii="Tahoma" w:hAnsi="Tahoma"/>
      <w:sz w:val="24"/>
      <w:szCs w:val="24"/>
    </w:rPr>
  </w:style>
  <w:style w:type="paragraph" w:customStyle="1" w:styleId="214">
    <w:name w:val="Table Text"/>
    <w:basedOn w:val="1"/>
    <w:qFormat/>
    <w:uiPriority w:val="0"/>
    <w:pPr>
      <w:widowControl/>
      <w:spacing w:before="60" w:after="60"/>
      <w:jc w:val="left"/>
    </w:pPr>
    <w:rPr>
      <w:rFonts w:ascii="宋体"/>
      <w:kern w:val="0"/>
      <w:sz w:val="34"/>
    </w:rPr>
  </w:style>
  <w:style w:type="paragraph" w:customStyle="1" w:styleId="215">
    <w:name w:val="表格"/>
    <w:basedOn w:val="1"/>
    <w:qFormat/>
    <w:uiPriority w:val="0"/>
    <w:pPr>
      <w:spacing w:line="400" w:lineRule="exact"/>
    </w:pPr>
    <w:rPr>
      <w:rFonts w:ascii="宋体"/>
      <w:kern w:val="0"/>
      <w:sz w:val="24"/>
    </w:rPr>
  </w:style>
  <w:style w:type="paragraph" w:customStyle="1" w:styleId="216">
    <w:name w:val="默认段落字体 Para Char Char Char Char Char Char Char Char Char1 Char Char Char Char"/>
    <w:basedOn w:val="1"/>
    <w:qFormat/>
    <w:uiPriority w:val="0"/>
    <w:rPr>
      <w:rFonts w:ascii="Tahoma" w:hAnsi="Tahoma"/>
      <w:kern w:val="0"/>
      <w:sz w:val="24"/>
      <w:szCs w:val="20"/>
    </w:rPr>
  </w:style>
  <w:style w:type="paragraph" w:customStyle="1" w:styleId="217">
    <w:name w:val="Char2"/>
    <w:basedOn w:val="1"/>
    <w:qFormat/>
    <w:uiPriority w:val="0"/>
    <w:pPr>
      <w:adjustRightInd w:val="0"/>
      <w:spacing w:line="360" w:lineRule="auto"/>
    </w:pPr>
    <w:rPr>
      <w:rFonts w:ascii="宋体"/>
      <w:kern w:val="0"/>
      <w:sz w:val="24"/>
      <w:szCs w:val="20"/>
    </w:rPr>
  </w:style>
  <w:style w:type="paragraph" w:customStyle="1" w:styleId="218">
    <w:name w:val="Char11"/>
    <w:basedOn w:val="1"/>
    <w:qFormat/>
    <w:uiPriority w:val="0"/>
    <w:rPr>
      <w:rFonts w:ascii="仿宋_GB2312" w:eastAsia="仿宋_GB2312"/>
      <w:b/>
      <w:kern w:val="0"/>
      <w:sz w:val="32"/>
      <w:szCs w:val="32"/>
    </w:rPr>
  </w:style>
  <w:style w:type="paragraph" w:customStyle="1" w:styleId="219">
    <w:name w:val="TOC 标题1"/>
    <w:basedOn w:val="2"/>
    <w:next w:val="1"/>
    <w:qFormat/>
    <w:uiPriority w:val="39"/>
    <w:pPr>
      <w:widowControl/>
      <w:spacing w:before="480" w:line="276" w:lineRule="auto"/>
      <w:jc w:val="left"/>
      <w:outlineLvl w:val="9"/>
    </w:pPr>
    <w:rPr>
      <w:rFonts w:ascii="Cambria" w:hAnsi="Cambria"/>
      <w:bCs/>
      <w:color w:val="365F91"/>
      <w:kern w:val="0"/>
      <w:sz w:val="28"/>
      <w:szCs w:val="28"/>
    </w:rPr>
  </w:style>
  <w:style w:type="paragraph" w:customStyle="1" w:styleId="220">
    <w:name w:val="13、表格内居中正文"/>
    <w:basedOn w:val="1"/>
    <w:qFormat/>
    <w:uiPriority w:val="0"/>
    <w:pPr>
      <w:tabs>
        <w:tab w:val="left" w:pos="0"/>
      </w:tabs>
      <w:wordWrap w:val="0"/>
      <w:topLinePunct/>
      <w:adjustRightInd w:val="0"/>
      <w:snapToGrid w:val="0"/>
      <w:spacing w:line="360" w:lineRule="exact"/>
      <w:jc w:val="center"/>
    </w:pPr>
    <w:rPr>
      <w:rFonts w:ascii="宋体" w:hAnsi="宋体"/>
    </w:rPr>
  </w:style>
  <w:style w:type="paragraph" w:customStyle="1" w:styleId="221">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2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符号)三标题1.1"/>
    <w:basedOn w:val="1"/>
    <w:qFormat/>
    <w:uiPriority w:val="0"/>
    <w:pPr>
      <w:tabs>
        <w:tab w:val="left" w:pos="420"/>
      </w:tabs>
      <w:spacing w:before="140" w:after="140" w:line="500" w:lineRule="exact"/>
      <w:ind w:left="360" w:hanging="360"/>
      <w:outlineLvl w:val="2"/>
    </w:pPr>
    <w:rPr>
      <w:rFonts w:ascii="楷体_GB2312" w:hAnsi="宋体" w:eastAsia="楷体_GB2312" w:cs="宋体"/>
      <w:b/>
      <w:bCs/>
      <w:kern w:val="0"/>
      <w:sz w:val="28"/>
      <w:szCs w:val="20"/>
    </w:rPr>
  </w:style>
  <w:style w:type="paragraph" w:customStyle="1" w:styleId="2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5">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Char Char Char Char Char Char"/>
    <w:basedOn w:val="1"/>
    <w:qFormat/>
    <w:uiPriority w:val="0"/>
    <w:rPr>
      <w:rFonts w:ascii="Tahoma" w:hAnsi="Tahoma"/>
      <w:kern w:val="0"/>
      <w:sz w:val="24"/>
      <w:szCs w:val="20"/>
    </w:rPr>
  </w:style>
  <w:style w:type="paragraph" w:customStyle="1" w:styleId="2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8">
    <w:name w:val="Char Char Char Char1"/>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22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Arial Unicode MS"/>
      <w:color w:val="000000"/>
      <w:kern w:val="0"/>
      <w:sz w:val="20"/>
      <w:szCs w:val="20"/>
    </w:rPr>
  </w:style>
  <w:style w:type="paragraph" w:customStyle="1" w:styleId="2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olor w:val="FF6600"/>
      <w:kern w:val="0"/>
      <w:sz w:val="20"/>
      <w:szCs w:val="20"/>
    </w:rPr>
  </w:style>
  <w:style w:type="paragraph" w:customStyle="1" w:styleId="232">
    <w:name w:val="Char2 Char Char Char"/>
    <w:basedOn w:val="1"/>
    <w:qFormat/>
    <w:uiPriority w:val="0"/>
    <w:rPr>
      <w:rFonts w:ascii="仿宋_GB2312" w:eastAsia="仿宋_GB2312"/>
      <w:b/>
      <w:kern w:val="0"/>
      <w:sz w:val="32"/>
      <w:szCs w:val="32"/>
    </w:rPr>
  </w:style>
  <w:style w:type="paragraph" w:customStyle="1" w:styleId="233">
    <w:name w:val="font8"/>
    <w:basedOn w:val="1"/>
    <w:qFormat/>
    <w:uiPriority w:val="0"/>
    <w:pPr>
      <w:widowControl/>
      <w:spacing w:before="100" w:beforeAutospacing="1" w:after="100" w:afterAutospacing="1"/>
      <w:jc w:val="left"/>
    </w:pPr>
    <w:rPr>
      <w:rFonts w:ascii="宋体"/>
      <w:kern w:val="0"/>
      <w:sz w:val="36"/>
      <w:szCs w:val="36"/>
    </w:rPr>
  </w:style>
  <w:style w:type="paragraph" w:customStyle="1" w:styleId="234">
    <w:name w:val="font10"/>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3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标题6"/>
    <w:basedOn w:val="8"/>
    <w:qFormat/>
    <w:uiPriority w:val="0"/>
    <w:pPr>
      <w:tabs>
        <w:tab w:val="right" w:leader="dot" w:pos="9061"/>
      </w:tabs>
      <w:adjustRightInd/>
      <w:spacing w:line="319" w:lineRule="auto"/>
      <w:jc w:val="center"/>
      <w:textAlignment w:val="auto"/>
    </w:pPr>
    <w:rPr>
      <w:rFonts w:ascii="宋体" w:eastAsia="宋体"/>
      <w:kern w:val="2"/>
      <w:sz w:val="21"/>
    </w:rPr>
  </w:style>
  <w:style w:type="paragraph" w:customStyle="1" w:styleId="237">
    <w:name w:val="Char"/>
    <w:basedOn w:val="1"/>
    <w:qFormat/>
    <w:uiPriority w:val="0"/>
    <w:pPr>
      <w:tabs>
        <w:tab w:val="left" w:pos="360"/>
      </w:tabs>
      <w:spacing w:line="360" w:lineRule="auto"/>
      <w:ind w:left="482" w:firstLine="200" w:firstLineChars="200"/>
    </w:pPr>
    <w:rPr>
      <w:rFonts w:ascii="宋体"/>
      <w:kern w:val="0"/>
      <w:sz w:val="24"/>
    </w:rPr>
  </w:style>
  <w:style w:type="paragraph" w:customStyle="1" w:styleId="238">
    <w:name w:val="正文11"/>
    <w:qFormat/>
    <w:uiPriority w:val="0"/>
    <w:pPr>
      <w:widowControl w:val="0"/>
      <w:adjustRightInd w:val="0"/>
      <w:spacing w:after="160" w:line="312" w:lineRule="atLeast"/>
      <w:jc w:val="both"/>
      <w:textAlignment w:val="baseline"/>
    </w:pPr>
    <w:rPr>
      <w:rFonts w:ascii="宋体" w:hAnsi="Times New Roman" w:eastAsia="宋体" w:cs="Times New Roman"/>
      <w:sz w:val="34"/>
      <w:szCs w:val="22"/>
      <w:lang w:val="en-US" w:eastAsia="zh-CN" w:bidi="ar-SA"/>
    </w:rPr>
  </w:style>
  <w:style w:type="paragraph" w:customStyle="1" w:styleId="239">
    <w:name w:val="我的正文"/>
    <w:basedOn w:val="1"/>
    <w:qFormat/>
    <w:uiPriority w:val="0"/>
    <w:pPr>
      <w:ind w:firstLine="560"/>
    </w:pPr>
    <w:rPr>
      <w:rFonts w:ascii="仿宋_GB2312" w:eastAsia="仿宋_GB2312"/>
      <w:sz w:val="28"/>
      <w:szCs w:val="28"/>
    </w:rPr>
  </w:style>
  <w:style w:type="paragraph" w:customStyle="1" w:styleId="240">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宋体" w:hAnsi="宋体"/>
      <w:kern w:val="0"/>
      <w:sz w:val="34"/>
      <w:szCs w:val="21"/>
    </w:rPr>
  </w:style>
  <w:style w:type="paragraph" w:customStyle="1" w:styleId="241">
    <w:name w:val="xl60"/>
    <w:basedOn w:val="1"/>
    <w:qFormat/>
    <w:uiPriority w:val="0"/>
    <w:pPr>
      <w:widowControl/>
      <w:pBdr>
        <w:left w:val="single" w:color="auto" w:sz="4" w:space="0"/>
        <w:bottom w:val="single" w:color="auto" w:sz="8" w:space="0"/>
        <w:right w:val="single" w:color="auto" w:sz="4" w:space="0"/>
      </w:pBdr>
      <w:spacing w:before="100" w:beforeAutospacing="1" w:after="100" w:afterAutospacing="1"/>
      <w:jc w:val="right"/>
      <w:textAlignment w:val="center"/>
    </w:pPr>
    <w:rPr>
      <w:rFonts w:ascii="宋体"/>
      <w:kern w:val="0"/>
      <w:sz w:val="34"/>
      <w:szCs w:val="21"/>
    </w:rPr>
  </w:style>
  <w:style w:type="paragraph" w:customStyle="1" w:styleId="24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4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4">
    <w:name w:val="AbsatzTableFormat"/>
    <w:basedOn w:val="1"/>
    <w:qFormat/>
    <w:uiPriority w:val="0"/>
    <w:pPr>
      <w:widowControl/>
      <w:jc w:val="left"/>
    </w:pPr>
    <w:rPr>
      <w:rFonts w:ascii="宋体"/>
      <w:bCs/>
      <w:kern w:val="0"/>
      <w:sz w:val="22"/>
      <w:szCs w:val="20"/>
      <w:lang w:val="pt-BR" w:eastAsia="en-US"/>
    </w:rPr>
  </w:style>
  <w:style w:type="paragraph" w:customStyle="1" w:styleId="24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46">
    <w:name w:val="Char1 Char Char"/>
    <w:basedOn w:val="1"/>
    <w:qFormat/>
    <w:uiPriority w:val="0"/>
    <w:pPr>
      <w:adjustRightInd w:val="0"/>
      <w:spacing w:line="360" w:lineRule="auto"/>
    </w:pPr>
    <w:rPr>
      <w:rFonts w:ascii="宋体"/>
      <w:kern w:val="0"/>
      <w:sz w:val="24"/>
      <w:szCs w:val="20"/>
    </w:rPr>
  </w:style>
  <w:style w:type="paragraph" w:customStyle="1" w:styleId="247">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kern w:val="0"/>
      <w:sz w:val="34"/>
      <w:szCs w:val="21"/>
    </w:rPr>
  </w:style>
  <w:style w:type="paragraph" w:customStyle="1" w:styleId="248">
    <w:name w:val="目录文字"/>
    <w:basedOn w:val="1"/>
    <w:qFormat/>
    <w:uiPriority w:val="0"/>
    <w:pPr>
      <w:widowControl/>
      <w:spacing w:line="480" w:lineRule="auto"/>
      <w:jc w:val="left"/>
    </w:pPr>
    <w:rPr>
      <w:rFonts w:ascii="宋体" w:hAnsi="宋体"/>
      <w:kern w:val="0"/>
      <w:sz w:val="24"/>
      <w:szCs w:val="20"/>
    </w:rPr>
  </w:style>
  <w:style w:type="paragraph" w:customStyle="1" w:styleId="249">
    <w:name w:val="Indent Normal"/>
    <w:basedOn w:val="1"/>
    <w:qFormat/>
    <w:uiPriority w:val="0"/>
    <w:pPr>
      <w:ind w:firstLine="150" w:firstLineChars="150"/>
    </w:pPr>
    <w:rPr>
      <w:sz w:val="24"/>
    </w:rPr>
  </w:style>
  <w:style w:type="paragraph" w:customStyle="1" w:styleId="250">
    <w:name w:val="标题3"/>
    <w:basedOn w:val="5"/>
    <w:qFormat/>
    <w:uiPriority w:val="0"/>
    <w:pPr>
      <w:spacing w:line="413" w:lineRule="auto"/>
    </w:pPr>
    <w:rPr>
      <w:rFonts w:ascii="宋体" w:hAnsi="宋体"/>
      <w:sz w:val="28"/>
      <w:szCs w:val="28"/>
    </w:rPr>
  </w:style>
  <w:style w:type="paragraph" w:customStyle="1" w:styleId="251">
    <w:name w:val="正文文本 21"/>
    <w:basedOn w:val="1"/>
    <w:qFormat/>
    <w:uiPriority w:val="0"/>
    <w:pPr>
      <w:adjustRightInd w:val="0"/>
      <w:spacing w:line="300" w:lineRule="auto"/>
      <w:jc w:val="center"/>
      <w:textAlignment w:val="baseline"/>
    </w:pPr>
    <w:rPr>
      <w:rFonts w:ascii="宋体" w:hAnsi="宋体"/>
      <w:kern w:val="0"/>
      <w:sz w:val="24"/>
      <w:szCs w:val="20"/>
    </w:rPr>
  </w:style>
  <w:style w:type="paragraph" w:customStyle="1" w:styleId="252">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53">
    <w:name w:val="(符号)五标题1.1.1"/>
    <w:basedOn w:val="1"/>
    <w:qFormat/>
    <w:uiPriority w:val="0"/>
    <w:pPr>
      <w:tabs>
        <w:tab w:val="left" w:pos="1000"/>
      </w:tabs>
      <w:spacing w:line="500" w:lineRule="exact"/>
      <w:ind w:left="1260" w:hanging="420"/>
    </w:pPr>
    <w:rPr>
      <w:rFonts w:ascii="宋体" w:hAnsi="宋体" w:cs="宋体"/>
      <w:color w:val="000000"/>
      <w:kern w:val="0"/>
      <w:sz w:val="24"/>
      <w:szCs w:val="20"/>
    </w:rPr>
  </w:style>
  <w:style w:type="paragraph" w:customStyle="1" w:styleId="254">
    <w:name w:val="15、“一、”二级标题"/>
    <w:basedOn w:val="1"/>
    <w:qFormat/>
    <w:uiPriority w:val="0"/>
    <w:pPr>
      <w:numPr>
        <w:ilvl w:val="1"/>
        <w:numId w:val="4"/>
      </w:numPr>
      <w:tabs>
        <w:tab w:val="left" w:pos="0"/>
      </w:tabs>
      <w:wordWrap w:val="0"/>
      <w:topLinePunct/>
      <w:adjustRightInd w:val="0"/>
      <w:snapToGrid w:val="0"/>
      <w:spacing w:line="440" w:lineRule="exact"/>
      <w:ind w:left="840" w:firstLine="803" w:firstLineChars="200"/>
      <w:jc w:val="left"/>
      <w:outlineLvl w:val="1"/>
    </w:pPr>
    <w:rPr>
      <w:rFonts w:ascii="宋体" w:hAnsi="宋体"/>
      <w:b/>
      <w:sz w:val="24"/>
    </w:rPr>
  </w:style>
  <w:style w:type="paragraph" w:customStyle="1" w:styleId="255">
    <w:name w:val="xl63"/>
    <w:basedOn w:val="1"/>
    <w:qFormat/>
    <w:uiPriority w:val="0"/>
    <w:pPr>
      <w:widowControl/>
      <w:pBdr>
        <w:top w:val="single" w:color="auto" w:sz="8" w:space="0"/>
        <w:left w:val="single" w:color="auto" w:sz="4" w:space="0"/>
        <w:bottom w:val="single" w:color="000000" w:sz="4" w:space="0"/>
        <w:right w:val="single" w:color="auto" w:sz="4" w:space="0"/>
      </w:pBdr>
      <w:spacing w:before="100" w:beforeAutospacing="1" w:after="100" w:afterAutospacing="1"/>
      <w:jc w:val="right"/>
      <w:textAlignment w:val="center"/>
    </w:pPr>
    <w:rPr>
      <w:rFonts w:ascii="宋体"/>
      <w:kern w:val="0"/>
      <w:sz w:val="34"/>
      <w:szCs w:val="21"/>
    </w:rPr>
  </w:style>
  <w:style w:type="paragraph" w:customStyle="1" w:styleId="25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58">
    <w:name w:val="纯文本1"/>
    <w:basedOn w:val="1"/>
    <w:qFormat/>
    <w:uiPriority w:val="0"/>
    <w:pPr>
      <w:adjustRightInd w:val="0"/>
      <w:textAlignment w:val="baseline"/>
    </w:pPr>
    <w:rPr>
      <w:rFonts w:ascii="宋体" w:hAnsi="Courier New"/>
      <w:kern w:val="0"/>
      <w:sz w:val="34"/>
      <w:szCs w:val="20"/>
    </w:rPr>
  </w:style>
  <w:style w:type="paragraph" w:customStyle="1" w:styleId="259">
    <w:name w:val="CM2"/>
    <w:basedOn w:val="1"/>
    <w:next w:val="1"/>
    <w:qFormat/>
    <w:uiPriority w:val="0"/>
    <w:pPr>
      <w:autoSpaceDE w:val="0"/>
      <w:autoSpaceDN w:val="0"/>
      <w:adjustRightInd w:val="0"/>
      <w:spacing w:line="240" w:lineRule="atLeast"/>
      <w:jc w:val="left"/>
    </w:pPr>
    <w:rPr>
      <w:rFonts w:ascii="宋体"/>
      <w:kern w:val="0"/>
      <w:sz w:val="24"/>
    </w:rPr>
  </w:style>
  <w:style w:type="paragraph" w:customStyle="1" w:styleId="2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2">
    <w:name w:val="Char Char Char Char Char Char Char1"/>
    <w:basedOn w:val="1"/>
    <w:qFormat/>
    <w:uiPriority w:val="0"/>
    <w:rPr>
      <w:rFonts w:ascii="宋体"/>
      <w:kern w:val="0"/>
      <w:sz w:val="34"/>
      <w:szCs w:val="20"/>
    </w:rPr>
  </w:style>
  <w:style w:type="paragraph" w:customStyle="1" w:styleId="263">
    <w:name w:val="标题 5（有编号）（绿盟科技）"/>
    <w:basedOn w:val="1"/>
    <w:next w:val="155"/>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264">
    <w:name w:val="BodyText"/>
    <w:basedOn w:val="1"/>
    <w:next w:val="1"/>
    <w:qFormat/>
    <w:uiPriority w:val="0"/>
    <w:pPr>
      <w:ind w:left="780"/>
      <w:textAlignment w:val="baseline"/>
    </w:pPr>
    <w:rPr>
      <w:rFonts w:ascii="Noto Sans CJK JP Regular" w:hAnsi="Noto Sans CJK JP Regular" w:eastAsia="Noto Sans CJK JP Regular"/>
      <w:sz w:val="24"/>
      <w:szCs w:val="22"/>
    </w:rPr>
  </w:style>
  <w:style w:type="paragraph" w:customStyle="1" w:styleId="26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67">
    <w:name w:val="xl6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34"/>
      <w:szCs w:val="21"/>
    </w:rPr>
  </w:style>
  <w:style w:type="paragraph" w:customStyle="1" w:styleId="268">
    <w:name w:val="LJT正文"/>
    <w:basedOn w:val="22"/>
    <w:qFormat/>
    <w:uiPriority w:val="0"/>
    <w:pPr>
      <w:spacing w:before="120"/>
      <w:ind w:left="420" w:firstLine="425"/>
    </w:pPr>
    <w:rPr>
      <w:rFonts w:ascii="Arial" w:hAnsi="Arial"/>
      <w:sz w:val="24"/>
    </w:rPr>
  </w:style>
  <w:style w:type="paragraph" w:customStyle="1" w:styleId="269">
    <w:name w:val="样式4"/>
    <w:basedOn w:val="1"/>
    <w:qFormat/>
    <w:uiPriority w:val="0"/>
    <w:pPr>
      <w:adjustRightInd w:val="0"/>
      <w:snapToGrid w:val="0"/>
      <w:spacing w:line="360" w:lineRule="auto"/>
      <w:ind w:firstLine="482" w:firstLineChars="200"/>
      <w:textAlignment w:val="top"/>
    </w:pPr>
    <w:rPr>
      <w:rFonts w:ascii="新宋体" w:hAnsi="新宋体" w:eastAsia="新宋体"/>
      <w:b/>
      <w:bCs/>
      <w:snapToGrid w:val="0"/>
      <w:kern w:val="28"/>
      <w:sz w:val="24"/>
      <w:szCs w:val="20"/>
    </w:rPr>
  </w:style>
  <w:style w:type="paragraph" w:customStyle="1" w:styleId="270">
    <w:name w:val="font7"/>
    <w:basedOn w:val="1"/>
    <w:qFormat/>
    <w:uiPriority w:val="0"/>
    <w:pPr>
      <w:widowControl/>
      <w:spacing w:before="100" w:beforeAutospacing="1" w:after="100" w:afterAutospacing="1"/>
      <w:jc w:val="left"/>
    </w:pPr>
    <w:rPr>
      <w:rFonts w:ascii="宋体" w:eastAsia="Arial Unicode MS"/>
      <w:b/>
      <w:bCs/>
      <w:color w:val="000000"/>
      <w:kern w:val="0"/>
      <w:sz w:val="20"/>
      <w:szCs w:val="20"/>
    </w:rPr>
  </w:style>
  <w:style w:type="paragraph" w:customStyle="1" w:styleId="27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72">
    <w:name w:val="xl58"/>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kern w:val="0"/>
      <w:sz w:val="34"/>
      <w:szCs w:val="21"/>
    </w:rPr>
  </w:style>
  <w:style w:type="paragraph" w:customStyle="1" w:styleId="273">
    <w:name w:val="章标题"/>
    <w:next w:val="1"/>
    <w:qFormat/>
    <w:uiPriority w:val="0"/>
    <w:pPr>
      <w:widowControl w:val="0"/>
      <w:spacing w:line="320" w:lineRule="exact"/>
      <w:jc w:val="both"/>
    </w:pPr>
    <w:rPr>
      <w:rFonts w:ascii="黑体" w:hAnsi="Times New Roman" w:eastAsia="黑体" w:cs="Times New Roman"/>
      <w:kern w:val="2"/>
      <w:sz w:val="21"/>
      <w:szCs w:val="24"/>
      <w:lang w:val="en-US" w:eastAsia="zh-CN" w:bidi="ar-SA"/>
    </w:rPr>
  </w:style>
  <w:style w:type="paragraph" w:customStyle="1" w:styleId="274">
    <w:name w:val="样式 首行缩进:  2 字符"/>
    <w:basedOn w:val="1"/>
    <w:qFormat/>
    <w:uiPriority w:val="99"/>
    <w:pPr>
      <w:spacing w:line="400" w:lineRule="exact"/>
      <w:ind w:firstLine="200" w:firstLineChars="200"/>
    </w:pPr>
    <w:rPr>
      <w:rFonts w:ascii="宋体" w:cs="宋体"/>
      <w:kern w:val="0"/>
      <w:sz w:val="24"/>
    </w:rPr>
  </w:style>
  <w:style w:type="paragraph" w:customStyle="1" w:styleId="27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76">
    <w:name w:val="p5"/>
    <w:basedOn w:val="1"/>
    <w:qFormat/>
    <w:uiPriority w:val="0"/>
    <w:pPr>
      <w:tabs>
        <w:tab w:val="left" w:pos="720"/>
      </w:tabs>
      <w:spacing w:line="240" w:lineRule="atLeast"/>
      <w:jc w:val="left"/>
    </w:pPr>
    <w:rPr>
      <w:rFonts w:ascii="宋体"/>
      <w:snapToGrid w:val="0"/>
      <w:kern w:val="0"/>
      <w:sz w:val="24"/>
      <w:szCs w:val="20"/>
      <w:lang w:val="en-GB" w:eastAsia="de-DE"/>
    </w:rPr>
  </w:style>
  <w:style w:type="paragraph" w:customStyle="1" w:styleId="277">
    <w:name w:val="xl6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kern w:val="0"/>
      <w:sz w:val="34"/>
      <w:szCs w:val="21"/>
    </w:rPr>
  </w:style>
  <w:style w:type="paragraph" w:customStyle="1" w:styleId="278">
    <w:name w:val="正文序号 1"/>
    <w:basedOn w:val="1"/>
    <w:qFormat/>
    <w:uiPriority w:val="0"/>
    <w:pPr>
      <w:spacing w:before="60"/>
    </w:pPr>
    <w:rPr>
      <w:rFonts w:ascii="宋体"/>
      <w:kern w:val="0"/>
      <w:sz w:val="34"/>
      <w:szCs w:val="20"/>
    </w:rPr>
  </w:style>
  <w:style w:type="paragraph" w:customStyle="1" w:styleId="279">
    <w:name w:val="Char Char6 Char Char"/>
    <w:basedOn w:val="1"/>
    <w:qFormat/>
    <w:uiPriority w:val="0"/>
    <w:rPr>
      <w:rFonts w:ascii="宋体"/>
      <w:kern w:val="0"/>
      <w:sz w:val="34"/>
    </w:rPr>
  </w:style>
  <w:style w:type="paragraph" w:customStyle="1" w:styleId="2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8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82">
    <w:name w:val="18、“1.1”五级标题"/>
    <w:basedOn w:val="158"/>
    <w:qFormat/>
    <w:uiPriority w:val="0"/>
    <w:pPr>
      <w:numPr>
        <w:ilvl w:val="4"/>
      </w:numPr>
      <w:ind w:left="2100" w:firstLine="803"/>
    </w:pPr>
  </w:style>
  <w:style w:type="paragraph" w:customStyle="1" w:styleId="283">
    <w:name w:val="16、“(一)”三级标题"/>
    <w:basedOn w:val="1"/>
    <w:qFormat/>
    <w:uiPriority w:val="0"/>
    <w:pPr>
      <w:numPr>
        <w:ilvl w:val="2"/>
        <w:numId w:val="4"/>
      </w:numPr>
      <w:tabs>
        <w:tab w:val="clear" w:pos="0"/>
      </w:tabs>
      <w:wordWrap w:val="0"/>
      <w:topLinePunct/>
      <w:adjustRightInd w:val="0"/>
      <w:snapToGrid w:val="0"/>
      <w:spacing w:line="440" w:lineRule="exact"/>
      <w:ind w:left="1260" w:firstLine="803" w:firstLineChars="200"/>
      <w:jc w:val="left"/>
      <w:outlineLvl w:val="2"/>
    </w:pPr>
    <w:rPr>
      <w:rFonts w:ascii="宋体" w:hAnsi="宋体"/>
      <w:b/>
      <w:snapToGrid w:val="0"/>
      <w:sz w:val="24"/>
    </w:rPr>
  </w:style>
  <w:style w:type="paragraph" w:customStyle="1" w:styleId="284">
    <w:name w:val="图表"/>
    <w:basedOn w:val="1"/>
    <w:qFormat/>
    <w:uiPriority w:val="0"/>
    <w:pPr>
      <w:jc w:val="center"/>
      <w:textAlignment w:val="center"/>
    </w:pPr>
    <w:rPr>
      <w:rFonts w:ascii="仿宋_GB2312" w:eastAsia="仿宋_GB2312"/>
    </w:rPr>
  </w:style>
  <w:style w:type="paragraph" w:customStyle="1" w:styleId="285">
    <w:name w:val="GW-正文"/>
    <w:basedOn w:val="1"/>
    <w:qFormat/>
    <w:uiPriority w:val="0"/>
    <w:pPr>
      <w:spacing w:line="360" w:lineRule="auto"/>
      <w:ind w:firstLine="200" w:firstLineChars="200"/>
    </w:pPr>
    <w:rPr>
      <w:rFonts w:eastAsia="仿宋_GB2312"/>
      <w:sz w:val="24"/>
    </w:rPr>
  </w:style>
  <w:style w:type="paragraph" w:customStyle="1" w:styleId="286">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rPr>
  </w:style>
  <w:style w:type="paragraph" w:customStyle="1" w:styleId="287">
    <w:name w:val="null3"/>
    <w:hidden/>
    <w:qFormat/>
    <w:uiPriority w:val="0"/>
    <w:rPr>
      <w:rFonts w:hint="eastAsia" w:asciiTheme="minorHAnsi" w:hAnsiTheme="minorHAnsi" w:eastAsiaTheme="minorEastAsia" w:cstheme="minorBidi"/>
      <w:lang w:val="en-US" w:eastAsia="zh-Hans"/>
    </w:rPr>
  </w:style>
  <w:style w:type="table" w:customStyle="1" w:styleId="288">
    <w:name w:val="Table Normal"/>
    <w:semiHidden/>
    <w:unhideWhenUsed/>
    <w:qFormat/>
    <w:uiPriority w:val="0"/>
    <w:tblPr>
      <w:tblCellMar>
        <w:top w:w="0" w:type="dxa"/>
        <w:left w:w="0" w:type="dxa"/>
        <w:bottom w:w="0" w:type="dxa"/>
        <w:right w:w="0" w:type="dxa"/>
      </w:tblCellMar>
    </w:tblPr>
  </w:style>
  <w:style w:type="paragraph" w:customStyle="1" w:styleId="289">
    <w:name w:val="03、“注：”正文(加粗，首行缩进2字符)"/>
    <w:basedOn w:val="290"/>
    <w:qFormat/>
    <w:uiPriority w:val="0"/>
    <w:pPr>
      <w:tabs>
        <w:tab w:val="left" w:pos="0"/>
      </w:tabs>
      <w:ind w:firstLine="480" w:firstLineChars="200"/>
    </w:pPr>
    <w:rPr>
      <w:b/>
    </w:rPr>
  </w:style>
  <w:style w:type="paragraph" w:customStyle="1" w:styleId="290">
    <w:name w:val="01、普通正文"/>
    <w:basedOn w:val="1"/>
    <w:qFormat/>
    <w:uiPriority w:val="0"/>
    <w:pPr>
      <w:tabs>
        <w:tab w:val="left" w:pos="0"/>
      </w:tabs>
      <w:wordWrap w:val="0"/>
      <w:topLinePunct/>
      <w:adjustRightInd w:val="0"/>
      <w:snapToGrid w:val="0"/>
      <w:spacing w:line="440" w:lineRule="exact"/>
      <w:jc w:val="left"/>
    </w:pPr>
    <w:rPr>
      <w:rFonts w:ascii="宋体" w:hAnsi="宋体" w:eastAsia="宋体"/>
      <w:snapToGrid w:val="0"/>
      <w:sz w:val="24"/>
    </w:rPr>
  </w:style>
  <w:style w:type="paragraph" w:customStyle="1" w:styleId="291">
    <w:name w:val="06、“1.”正文四级标题"/>
    <w:basedOn w:val="1"/>
    <w:qFormat/>
    <w:uiPriority w:val="0"/>
    <w:pPr>
      <w:numPr>
        <w:ilvl w:val="2"/>
        <w:numId w:val="7"/>
      </w:numPr>
      <w:tabs>
        <w:tab w:val="left" w:pos="0"/>
      </w:tabs>
      <w:wordWrap w:val="0"/>
      <w:topLinePunct/>
      <w:adjustRightInd w:val="0"/>
      <w:snapToGrid w:val="0"/>
      <w:spacing w:line="440" w:lineRule="exact"/>
      <w:ind w:firstLine="803" w:firstLineChars="200"/>
      <w:jc w:val="left"/>
    </w:pPr>
    <w:rPr>
      <w:rFonts w:ascii="宋体" w:hAnsi="宋体" w:eastAsia="宋体"/>
      <w:snapToGrid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7611</Words>
  <Characters>43387</Characters>
  <Lines>361</Lines>
  <Paragraphs>101</Paragraphs>
  <TotalTime>12</TotalTime>
  <ScaleCrop>false</ScaleCrop>
  <LinksUpToDate>false</LinksUpToDate>
  <CharactersWithSpaces>50897</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2021-03-27T19:07:00Z</dcterms:created>
  <dc:creator>TP</dc:creator>
  <cp:lastModifiedBy>Administrator</cp:lastModifiedBy>
  <cp:lastPrinted>2021-12-23T15:43:00Z</cp:lastPrinted>
  <dcterms:modified xsi:type="dcterms:W3CDTF">2024-04-16T02:16:48Z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y fmtid="{D5CDD505-2E9C-101B-9397-08002B2CF9AE}" pid="3" name="ICV">
    <vt:lpwstr>113423048B9644C48DC198530DE4C5FB_13</vt:lpwstr>
  </property>
</Properties>
</file>